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EE" w:rsidRPr="00A9292D" w:rsidRDefault="00360240" w:rsidP="00B84A53">
      <w:pPr>
        <w:spacing w:line="1780" w:lineRule="exact"/>
        <w:rPr>
          <w:b/>
          <w:sz w:val="80"/>
        </w:rPr>
      </w:pPr>
      <w:r>
        <w:rPr>
          <w:b/>
          <w:noProof/>
          <w:sz w:val="80"/>
        </w:rPr>
        <w:pict>
          <v:group id="_x0000_s1033" style="position:absolute;left:0;text-align:left;margin-left:-4.55pt;margin-top:-7.2pt;width:450.95pt;height:254.15pt;z-index:251657728" coordorigin="1497,1784" coordsize="9019,5083">
            <v:line id="_x0000_s1030" style="position:absolute" from="1588,6867" to="10414,6867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97;top:1784;width:9019;height:3888;mso-height-percent:200;mso-height-percent:200;mso-width-relative:margin;mso-height-relative:margin" stroked="f">
              <v:textbox style="mso-fit-shape-to-text:t">
                <w:txbxContent>
                  <w:p w:rsidR="00DB34F2" w:rsidRDefault="00DB34F2" w:rsidP="00DB34F2">
                    <w:pPr>
                      <w:jc w:val="center"/>
                      <w:rPr>
                        <w:rFonts w:ascii="方正小标宋简体" w:eastAsia="方正小标宋简体"/>
                        <w:bCs/>
                        <w:color w:val="FF0000"/>
                        <w:spacing w:val="-6"/>
                        <w:w w:val="68"/>
                        <w:sz w:val="108"/>
                        <w:szCs w:val="108"/>
                      </w:rPr>
                    </w:pPr>
                  </w:p>
                  <w:p w:rsidR="00DB34F2" w:rsidRPr="00DB34F2" w:rsidRDefault="00DB34F2" w:rsidP="00DB34F2">
                    <w:pPr>
                      <w:jc w:val="center"/>
                    </w:pPr>
                    <w:r w:rsidRPr="00B35CEB">
                      <w:rPr>
                        <w:rFonts w:ascii="方正小标宋简体" w:eastAsia="方正小标宋简体" w:hint="eastAsia"/>
                        <w:bCs/>
                        <w:color w:val="FF0000"/>
                        <w:spacing w:val="-6"/>
                        <w:w w:val="68"/>
                        <w:sz w:val="108"/>
                        <w:szCs w:val="108"/>
                      </w:rPr>
                      <w:t>北京市东城区人民政府文件</w:t>
                    </w:r>
                  </w:p>
                </w:txbxContent>
              </v:textbox>
            </v:shape>
          </v:group>
        </w:pict>
      </w:r>
    </w:p>
    <w:p w:rsidR="004E4594" w:rsidRPr="00A9292D" w:rsidRDefault="00B35CEB" w:rsidP="004E4594">
      <w:pPr>
        <w:jc w:val="center"/>
        <w:rPr>
          <w:rFonts w:ascii="方正小标宋简体" w:eastAsia="方正小标宋简体"/>
          <w:b/>
          <w:bCs/>
          <w:color w:val="FF0000"/>
          <w:spacing w:val="-6"/>
          <w:w w:val="68"/>
          <w:sz w:val="108"/>
          <w:szCs w:val="108"/>
        </w:rPr>
      </w:pPr>
      <w:r w:rsidRPr="00A9292D">
        <w:rPr>
          <w:rFonts w:ascii="方正小标宋简体" w:eastAsia="方正小标宋简体" w:hint="eastAsia"/>
          <w:b/>
          <w:bCs/>
          <w:color w:val="FF0000"/>
          <w:spacing w:val="-6"/>
          <w:w w:val="68"/>
          <w:sz w:val="108"/>
          <w:szCs w:val="108"/>
        </w:rPr>
        <w:t>北京市东城区人民政府</w:t>
      </w:r>
      <w:r w:rsidR="00F95FAE" w:rsidRPr="00A9292D">
        <w:rPr>
          <w:rFonts w:ascii="方正小标宋简体" w:eastAsia="方正小标宋简体" w:hint="eastAsia"/>
          <w:b/>
          <w:bCs/>
          <w:color w:val="FF0000"/>
          <w:spacing w:val="-6"/>
          <w:w w:val="68"/>
          <w:sz w:val="108"/>
          <w:szCs w:val="108"/>
        </w:rPr>
        <w:t>文件</w:t>
      </w:r>
    </w:p>
    <w:p w:rsidR="008C78EE" w:rsidRDefault="008C78EE" w:rsidP="0020010B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8C78EE" w:rsidRPr="0050141B" w:rsidRDefault="008C78EE" w:rsidP="0090758F">
      <w:pPr>
        <w:spacing w:afterLines="50" w:line="540" w:lineRule="exact"/>
        <w:ind w:leftChars="100" w:left="210" w:rightChars="100" w:right="210"/>
        <w:jc w:val="center"/>
        <w:rPr>
          <w:rFonts w:ascii="楷体_GB2312" w:eastAsia="楷体_GB2312"/>
          <w:sz w:val="32"/>
          <w:szCs w:val="32"/>
        </w:rPr>
      </w:pPr>
      <w:r w:rsidRPr="002D5CDE">
        <w:rPr>
          <w:rFonts w:eastAsia="仿宋_GB2312"/>
          <w:sz w:val="32"/>
          <w:szCs w:val="32"/>
        </w:rPr>
        <w:t>东政</w:t>
      </w:r>
      <w:r w:rsidR="00F95FAE">
        <w:rPr>
          <w:rFonts w:eastAsia="仿宋_GB2312" w:hint="eastAsia"/>
          <w:sz w:val="32"/>
          <w:szCs w:val="32"/>
        </w:rPr>
        <w:t>发</w:t>
      </w:r>
      <w:r w:rsidRPr="002D5CDE">
        <w:rPr>
          <w:rFonts w:eastAsia="仿宋_GB2312"/>
          <w:sz w:val="32"/>
          <w:szCs w:val="32"/>
        </w:rPr>
        <w:t>〔</w:t>
      </w:r>
      <w:r w:rsidR="00C20617" w:rsidRPr="002D5CDE">
        <w:rPr>
          <w:rFonts w:eastAsia="仿宋_GB2312"/>
          <w:sz w:val="32"/>
          <w:szCs w:val="32"/>
        </w:rPr>
        <w:t>20</w:t>
      </w:r>
      <w:r w:rsidR="00C20617">
        <w:rPr>
          <w:rFonts w:eastAsia="仿宋_GB2312" w:hint="eastAsia"/>
          <w:sz w:val="32"/>
          <w:szCs w:val="32"/>
        </w:rPr>
        <w:t>19</w:t>
      </w:r>
      <w:r w:rsidRPr="002D5CDE">
        <w:rPr>
          <w:rFonts w:eastAsia="仿宋_GB2312"/>
          <w:sz w:val="32"/>
          <w:szCs w:val="32"/>
        </w:rPr>
        <w:t>〕</w:t>
      </w:r>
      <w:r w:rsidR="00F4208B">
        <w:rPr>
          <w:rFonts w:eastAsia="仿宋_GB2312" w:hint="eastAsia"/>
          <w:sz w:val="32"/>
          <w:szCs w:val="32"/>
        </w:rPr>
        <w:t>8</w:t>
      </w:r>
      <w:r w:rsidRPr="002D5CDE">
        <w:rPr>
          <w:rFonts w:eastAsia="仿宋_GB2312"/>
          <w:sz w:val="32"/>
          <w:szCs w:val="32"/>
        </w:rPr>
        <w:t>号</w:t>
      </w:r>
    </w:p>
    <w:p w:rsidR="00133F54" w:rsidRPr="002D5CDE" w:rsidRDefault="00133F54" w:rsidP="00F4208B">
      <w:pPr>
        <w:spacing w:line="560" w:lineRule="exact"/>
        <w:rPr>
          <w:rFonts w:eastAsia="仿宋_GB2312"/>
          <w:sz w:val="32"/>
          <w:szCs w:val="32"/>
        </w:rPr>
      </w:pPr>
    </w:p>
    <w:p w:rsidR="00133F54" w:rsidRPr="002D5CDE" w:rsidRDefault="00133F54" w:rsidP="00F4208B">
      <w:pPr>
        <w:spacing w:line="560" w:lineRule="exact"/>
        <w:rPr>
          <w:rFonts w:eastAsia="仿宋_GB2312"/>
          <w:sz w:val="32"/>
          <w:szCs w:val="32"/>
        </w:rPr>
      </w:pPr>
    </w:p>
    <w:p w:rsidR="00A77B3B" w:rsidRDefault="008C78EE" w:rsidP="00F4208B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2D5CDE">
        <w:rPr>
          <w:rFonts w:eastAsia="方正小标宋简体"/>
          <w:sz w:val="44"/>
          <w:szCs w:val="44"/>
        </w:rPr>
        <w:t>北京市东城区人民政府</w:t>
      </w:r>
    </w:p>
    <w:p w:rsidR="00A77B3B" w:rsidRDefault="00F85D04" w:rsidP="00F4208B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2D5CDE">
        <w:rPr>
          <w:rFonts w:eastAsia="方正小标宋简体"/>
          <w:sz w:val="44"/>
          <w:szCs w:val="44"/>
        </w:rPr>
        <w:t>关于</w:t>
      </w:r>
      <w:r>
        <w:rPr>
          <w:rFonts w:eastAsia="方正小标宋简体" w:hint="eastAsia"/>
          <w:sz w:val="44"/>
          <w:szCs w:val="44"/>
        </w:rPr>
        <w:t>印发</w:t>
      </w:r>
      <w:r w:rsidR="00C20617" w:rsidRPr="00C20617">
        <w:rPr>
          <w:rFonts w:eastAsia="方正小标宋简体" w:hint="eastAsia"/>
          <w:sz w:val="44"/>
          <w:szCs w:val="44"/>
        </w:rPr>
        <w:t>东城区“文菁计划”</w:t>
      </w:r>
    </w:p>
    <w:p w:rsidR="004E4594" w:rsidRPr="002D5CDE" w:rsidRDefault="00C20617" w:rsidP="00F4208B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C20617">
        <w:rPr>
          <w:rFonts w:eastAsia="方正小标宋简体" w:hint="eastAsia"/>
          <w:sz w:val="44"/>
          <w:szCs w:val="44"/>
        </w:rPr>
        <w:t>实施办法</w:t>
      </w:r>
      <w:r w:rsidR="008C78EE" w:rsidRPr="002D5CDE">
        <w:rPr>
          <w:rFonts w:eastAsia="方正小标宋简体"/>
          <w:sz w:val="44"/>
          <w:szCs w:val="44"/>
        </w:rPr>
        <w:t>的</w:t>
      </w:r>
      <w:r w:rsidR="00F95FAE">
        <w:rPr>
          <w:rFonts w:eastAsia="方正小标宋简体" w:hint="eastAsia"/>
          <w:sz w:val="44"/>
          <w:szCs w:val="44"/>
        </w:rPr>
        <w:t>通知</w:t>
      </w:r>
    </w:p>
    <w:p w:rsidR="008C78EE" w:rsidRPr="0090758F" w:rsidRDefault="008C78EE" w:rsidP="00F4208B">
      <w:pPr>
        <w:spacing w:line="560" w:lineRule="exact"/>
        <w:rPr>
          <w:rFonts w:eastAsia="仿宋_GB2312"/>
          <w:sz w:val="32"/>
          <w:szCs w:val="32"/>
        </w:rPr>
      </w:pPr>
    </w:p>
    <w:p w:rsidR="001C26BD" w:rsidRPr="00C20617" w:rsidRDefault="001C26BD" w:rsidP="00F4208B">
      <w:pPr>
        <w:spacing w:line="560" w:lineRule="exact"/>
        <w:rPr>
          <w:rFonts w:eastAsia="楷体_GB2312"/>
          <w:spacing w:val="-4"/>
          <w:sz w:val="32"/>
          <w:szCs w:val="32"/>
        </w:rPr>
      </w:pPr>
      <w:r w:rsidRPr="00C20617">
        <w:rPr>
          <w:rFonts w:eastAsia="楷体_GB2312"/>
          <w:spacing w:val="-4"/>
          <w:sz w:val="32"/>
          <w:szCs w:val="32"/>
        </w:rPr>
        <w:t>各街道办事处，区政府各委、办、局，各区属机构：</w:t>
      </w:r>
    </w:p>
    <w:p w:rsidR="00954499" w:rsidRPr="003E525F" w:rsidRDefault="00C20617" w:rsidP="003830EE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楷体_GB2312" w:hint="eastAsia"/>
          <w:spacing w:val="-4"/>
          <w:sz w:val="32"/>
          <w:szCs w:val="32"/>
        </w:rPr>
        <w:t>《</w:t>
      </w:r>
      <w:r w:rsidRPr="00C20617">
        <w:rPr>
          <w:rFonts w:eastAsia="楷体_GB2312" w:hint="eastAsia"/>
          <w:spacing w:val="-4"/>
          <w:sz w:val="32"/>
          <w:szCs w:val="32"/>
        </w:rPr>
        <w:t>东城区“文菁计划”实施办法</w:t>
      </w:r>
      <w:r>
        <w:rPr>
          <w:rFonts w:eastAsia="楷体_GB2312" w:hint="eastAsia"/>
          <w:spacing w:val="-4"/>
          <w:sz w:val="32"/>
          <w:szCs w:val="32"/>
        </w:rPr>
        <w:t>》</w:t>
      </w:r>
      <w:r>
        <w:rPr>
          <w:rFonts w:eastAsia="楷体_GB2312"/>
          <w:spacing w:val="-4"/>
          <w:sz w:val="32"/>
          <w:szCs w:val="32"/>
        </w:rPr>
        <w:t>已经</w:t>
      </w:r>
      <w:r>
        <w:rPr>
          <w:rFonts w:eastAsia="楷体_GB2312"/>
          <w:spacing w:val="-4"/>
          <w:sz w:val="32"/>
          <w:szCs w:val="32"/>
        </w:rPr>
        <w:t>2018</w:t>
      </w:r>
      <w:r>
        <w:rPr>
          <w:rFonts w:eastAsia="楷体_GB2312"/>
          <w:spacing w:val="-4"/>
          <w:sz w:val="32"/>
          <w:szCs w:val="32"/>
        </w:rPr>
        <w:t>年</w:t>
      </w:r>
      <w:r>
        <w:rPr>
          <w:rFonts w:eastAsia="楷体_GB2312"/>
          <w:spacing w:val="-4"/>
          <w:sz w:val="32"/>
          <w:szCs w:val="32"/>
        </w:rPr>
        <w:t>11</w:t>
      </w:r>
      <w:r>
        <w:rPr>
          <w:rFonts w:eastAsia="楷体_GB2312"/>
          <w:spacing w:val="-4"/>
          <w:sz w:val="32"/>
          <w:szCs w:val="32"/>
        </w:rPr>
        <w:t>月</w:t>
      </w:r>
      <w:r>
        <w:rPr>
          <w:rFonts w:eastAsia="楷体_GB2312" w:hint="eastAsia"/>
          <w:spacing w:val="-4"/>
          <w:sz w:val="32"/>
          <w:szCs w:val="32"/>
        </w:rPr>
        <w:t>27</w:t>
      </w:r>
      <w:r>
        <w:rPr>
          <w:rFonts w:eastAsia="楷体_GB2312"/>
          <w:spacing w:val="-4"/>
          <w:sz w:val="32"/>
          <w:szCs w:val="32"/>
        </w:rPr>
        <w:t>日</w:t>
      </w:r>
      <w:r>
        <w:rPr>
          <w:rFonts w:eastAsia="楷体_GB2312" w:hint="eastAsia"/>
          <w:spacing w:val="-4"/>
          <w:sz w:val="32"/>
          <w:szCs w:val="32"/>
        </w:rPr>
        <w:t>区政府专题会议和</w:t>
      </w:r>
      <w:r>
        <w:rPr>
          <w:rFonts w:eastAsia="楷体_GB2312" w:hint="eastAsia"/>
          <w:spacing w:val="-4"/>
          <w:sz w:val="32"/>
          <w:szCs w:val="32"/>
        </w:rPr>
        <w:t>2019</w:t>
      </w:r>
      <w:r>
        <w:rPr>
          <w:rFonts w:eastAsia="楷体_GB2312" w:hint="eastAsia"/>
          <w:spacing w:val="-4"/>
          <w:sz w:val="32"/>
          <w:szCs w:val="32"/>
        </w:rPr>
        <w:t>年</w:t>
      </w:r>
      <w:r>
        <w:rPr>
          <w:rFonts w:eastAsia="楷体_GB2312" w:hint="eastAsia"/>
          <w:spacing w:val="-4"/>
          <w:sz w:val="32"/>
          <w:szCs w:val="32"/>
        </w:rPr>
        <w:t>2</w:t>
      </w:r>
      <w:r>
        <w:rPr>
          <w:rFonts w:eastAsia="楷体_GB2312" w:hint="eastAsia"/>
          <w:spacing w:val="-4"/>
          <w:sz w:val="32"/>
          <w:szCs w:val="32"/>
        </w:rPr>
        <w:t>月</w:t>
      </w:r>
      <w:r>
        <w:rPr>
          <w:rFonts w:eastAsia="楷体_GB2312" w:hint="eastAsia"/>
          <w:spacing w:val="-4"/>
          <w:sz w:val="32"/>
          <w:szCs w:val="32"/>
        </w:rPr>
        <w:t>21</w:t>
      </w:r>
      <w:r>
        <w:rPr>
          <w:rFonts w:eastAsia="楷体_GB2312" w:hint="eastAsia"/>
          <w:spacing w:val="-4"/>
          <w:sz w:val="32"/>
          <w:szCs w:val="32"/>
        </w:rPr>
        <w:t>日第十二届区委常委会第</w:t>
      </w:r>
      <w:r>
        <w:rPr>
          <w:rFonts w:eastAsia="楷体_GB2312" w:hint="eastAsia"/>
          <w:spacing w:val="-4"/>
          <w:sz w:val="32"/>
          <w:szCs w:val="32"/>
        </w:rPr>
        <w:t>83</w:t>
      </w:r>
      <w:r>
        <w:rPr>
          <w:rFonts w:eastAsia="楷体_GB2312" w:hint="eastAsia"/>
          <w:spacing w:val="-4"/>
          <w:sz w:val="32"/>
          <w:szCs w:val="32"/>
        </w:rPr>
        <w:t>次会议</w:t>
      </w:r>
      <w:r>
        <w:rPr>
          <w:rFonts w:eastAsia="楷体_GB2312"/>
          <w:spacing w:val="-4"/>
          <w:sz w:val="32"/>
          <w:szCs w:val="32"/>
        </w:rPr>
        <w:t>审议通过</w:t>
      </w:r>
      <w:r w:rsidR="00F85D04">
        <w:rPr>
          <w:rFonts w:eastAsia="楷体_GB2312" w:hint="eastAsia"/>
          <w:spacing w:val="-4"/>
          <w:sz w:val="32"/>
          <w:szCs w:val="32"/>
        </w:rPr>
        <w:t>，</w:t>
      </w:r>
      <w:r>
        <w:rPr>
          <w:rFonts w:eastAsia="楷体_GB2312"/>
          <w:spacing w:val="-4"/>
          <w:sz w:val="32"/>
          <w:szCs w:val="32"/>
        </w:rPr>
        <w:t>现印发给你们，请认真贯彻执行。</w:t>
      </w:r>
    </w:p>
    <w:p w:rsidR="00C824FD" w:rsidRPr="00C20617" w:rsidRDefault="00C824FD" w:rsidP="00693E7C">
      <w:pPr>
        <w:spacing w:line="560" w:lineRule="exact"/>
        <w:ind w:firstLineChars="200" w:firstLine="624"/>
        <w:rPr>
          <w:rFonts w:eastAsia="楷体_GB2312"/>
          <w:spacing w:val="-4"/>
          <w:sz w:val="32"/>
          <w:szCs w:val="32"/>
        </w:rPr>
      </w:pPr>
    </w:p>
    <w:p w:rsidR="008C78EE" w:rsidRPr="00C20617" w:rsidRDefault="005A7A93" w:rsidP="00F4208B">
      <w:pPr>
        <w:spacing w:line="560" w:lineRule="exact"/>
        <w:ind w:rightChars="498" w:right="1046"/>
        <w:jc w:val="right"/>
        <w:rPr>
          <w:rFonts w:eastAsia="楷体_GB2312"/>
          <w:spacing w:val="-4"/>
          <w:sz w:val="32"/>
          <w:szCs w:val="32"/>
        </w:rPr>
      </w:pPr>
      <w:r w:rsidRPr="00C20617">
        <w:rPr>
          <w:rFonts w:eastAsia="楷体_GB2312" w:hint="eastAsia"/>
          <w:spacing w:val="-4"/>
          <w:sz w:val="32"/>
          <w:szCs w:val="32"/>
        </w:rPr>
        <w:t>北京市东城区人民政府</w:t>
      </w:r>
    </w:p>
    <w:p w:rsidR="00F4208B" w:rsidRDefault="00C20617" w:rsidP="00F4208B">
      <w:pPr>
        <w:spacing w:line="560" w:lineRule="exact"/>
        <w:ind w:rightChars="633" w:right="1329"/>
        <w:jc w:val="right"/>
        <w:rPr>
          <w:rFonts w:ascii="仿宋_GB2312" w:eastAsia="仿宋_GB2312"/>
          <w:spacing w:val="-4"/>
          <w:sz w:val="32"/>
          <w:szCs w:val="32"/>
        </w:rPr>
      </w:pPr>
      <w:r w:rsidRPr="00C20617">
        <w:rPr>
          <w:rFonts w:eastAsia="楷体_GB2312" w:hint="eastAsia"/>
          <w:spacing w:val="-4"/>
          <w:sz w:val="32"/>
          <w:szCs w:val="32"/>
        </w:rPr>
        <w:t>20</w:t>
      </w:r>
      <w:r>
        <w:rPr>
          <w:rFonts w:eastAsia="楷体_GB2312" w:hint="eastAsia"/>
          <w:spacing w:val="-4"/>
          <w:sz w:val="32"/>
          <w:szCs w:val="32"/>
        </w:rPr>
        <w:t>19</w:t>
      </w:r>
      <w:r w:rsidR="005A7A93" w:rsidRPr="00C20617">
        <w:rPr>
          <w:rFonts w:eastAsia="楷体_GB2312" w:hint="eastAsia"/>
          <w:spacing w:val="-4"/>
          <w:sz w:val="32"/>
          <w:szCs w:val="32"/>
        </w:rPr>
        <w:t>年</w:t>
      </w:r>
      <w:r>
        <w:rPr>
          <w:rFonts w:eastAsia="楷体_GB2312" w:hint="eastAsia"/>
          <w:spacing w:val="-4"/>
          <w:sz w:val="32"/>
          <w:szCs w:val="32"/>
        </w:rPr>
        <w:t>4</w:t>
      </w:r>
      <w:r w:rsidR="005A7A93" w:rsidRPr="00C20617">
        <w:rPr>
          <w:rFonts w:eastAsia="楷体_GB2312" w:hint="eastAsia"/>
          <w:spacing w:val="-4"/>
          <w:sz w:val="32"/>
          <w:szCs w:val="32"/>
        </w:rPr>
        <w:t>月</w:t>
      </w:r>
      <w:r w:rsidR="00F4208B">
        <w:rPr>
          <w:rFonts w:eastAsia="楷体_GB2312" w:hint="eastAsia"/>
          <w:spacing w:val="-4"/>
          <w:sz w:val="32"/>
          <w:szCs w:val="32"/>
        </w:rPr>
        <w:t>23</w:t>
      </w:r>
      <w:r w:rsidR="005A7A93" w:rsidRPr="00C20617">
        <w:rPr>
          <w:rFonts w:eastAsia="楷体_GB2312" w:hint="eastAsia"/>
          <w:spacing w:val="-4"/>
          <w:sz w:val="32"/>
          <w:szCs w:val="32"/>
        </w:rPr>
        <w:t>日</w:t>
      </w:r>
    </w:p>
    <w:p w:rsidR="00F85D04" w:rsidRPr="00F4208B" w:rsidRDefault="00C20617" w:rsidP="003830EE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F4208B">
        <w:rPr>
          <w:rFonts w:eastAsia="仿宋_GB2312" w:hint="eastAsia"/>
          <w:spacing w:val="-4"/>
          <w:sz w:val="32"/>
          <w:szCs w:val="32"/>
        </w:rPr>
        <w:t>（此件公开发布）</w:t>
      </w:r>
    </w:p>
    <w:p w:rsidR="005A7A93" w:rsidRPr="00C824FD" w:rsidRDefault="00C20617" w:rsidP="00F85D04">
      <w:pPr>
        <w:spacing w:line="590" w:lineRule="exact"/>
        <w:jc w:val="center"/>
        <w:rPr>
          <w:rFonts w:eastAsia="方正小标宋简体"/>
          <w:sz w:val="44"/>
          <w:szCs w:val="44"/>
        </w:rPr>
      </w:pPr>
      <w:r w:rsidRPr="00C20617">
        <w:rPr>
          <w:rFonts w:eastAsia="方正小标宋简体" w:hint="eastAsia"/>
          <w:sz w:val="44"/>
          <w:szCs w:val="44"/>
        </w:rPr>
        <w:lastRenderedPageBreak/>
        <w:t>东城区“文菁计划”实施办法</w:t>
      </w:r>
    </w:p>
    <w:p w:rsidR="005A7A93" w:rsidRPr="003E525F" w:rsidRDefault="005A7A93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C20617" w:rsidRPr="00C20617" w:rsidRDefault="00C20617" w:rsidP="00C20617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C20617">
        <w:rPr>
          <w:rFonts w:eastAsia="仿宋_GB2312" w:hint="eastAsia"/>
          <w:spacing w:val="-4"/>
          <w:sz w:val="32"/>
          <w:szCs w:val="32"/>
        </w:rPr>
        <w:t>为落实北京市《关于推进文化创意产业创新发展的意见》、《北京市促进文化科技融合发展的若干措施》以及东城区《关于东城区加快文化创新融合构建高精尖经济结构的实施意见》，进一步培育优秀文化企业，不断提升文化产业创新发展活力，探索文化金融、文化科技融合发展新模式，结合东城区文化产业发展实际，特设立“文菁计划”，并制定本办法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第一条</w:t>
      </w:r>
      <w:r w:rsidRPr="00F4208B">
        <w:rPr>
          <w:rFonts w:ascii="仿宋_GB2312" w:eastAsia="仿宋_GB2312" w:hint="eastAsia"/>
          <w:b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“文菁计划”是东城区优秀文化企业的专项扶持计划，资金来源为区政府专项资金。“文菁计划”重点支持符合北京市、东城区文化产业发展方向，工商、税务、统计均在东城区的具有独立法人资格的三类文化企业，即：行业领军企业、高成长型企业和特色文化企业。</w:t>
      </w:r>
    </w:p>
    <w:p w:rsidR="00C20617" w:rsidRPr="00C20617" w:rsidRDefault="00C20617" w:rsidP="00C20617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C20617">
        <w:rPr>
          <w:rFonts w:eastAsia="仿宋_GB2312" w:hint="eastAsia"/>
          <w:spacing w:val="-4"/>
          <w:sz w:val="32"/>
          <w:szCs w:val="32"/>
        </w:rPr>
        <w:t>行业领军企业，是指年度主营业务收入</w:t>
      </w:r>
      <w:r w:rsidRPr="00C20617">
        <w:rPr>
          <w:rFonts w:eastAsia="仿宋_GB2312" w:hint="eastAsia"/>
          <w:spacing w:val="-4"/>
          <w:sz w:val="32"/>
          <w:szCs w:val="32"/>
        </w:rPr>
        <w:t>1</w:t>
      </w:r>
      <w:r w:rsidRPr="00C20617">
        <w:rPr>
          <w:rFonts w:eastAsia="仿宋_GB2312" w:hint="eastAsia"/>
          <w:spacing w:val="-4"/>
          <w:sz w:val="32"/>
          <w:szCs w:val="32"/>
        </w:rPr>
        <w:t>亿元以上，且行业影响力突出、区域带动作用显著的文化企业。高成长型企业，是指年度主营业务收入</w:t>
      </w:r>
      <w:r w:rsidRPr="00C20617">
        <w:rPr>
          <w:rFonts w:eastAsia="仿宋_GB2312" w:hint="eastAsia"/>
          <w:spacing w:val="-4"/>
          <w:sz w:val="32"/>
          <w:szCs w:val="32"/>
        </w:rPr>
        <w:t>1000</w:t>
      </w:r>
      <w:r w:rsidRPr="00C20617">
        <w:rPr>
          <w:rFonts w:eastAsia="仿宋_GB2312" w:hint="eastAsia"/>
          <w:spacing w:val="-4"/>
          <w:sz w:val="32"/>
          <w:szCs w:val="32"/>
        </w:rPr>
        <w:t>万元以上，连续三年平均增速</w:t>
      </w:r>
      <w:r w:rsidRPr="00C20617">
        <w:rPr>
          <w:rFonts w:eastAsia="仿宋_GB2312" w:hint="eastAsia"/>
          <w:spacing w:val="-4"/>
          <w:sz w:val="32"/>
          <w:szCs w:val="32"/>
        </w:rPr>
        <w:t>20%</w:t>
      </w:r>
      <w:r w:rsidRPr="00C20617">
        <w:rPr>
          <w:rFonts w:eastAsia="仿宋_GB2312" w:hint="eastAsia"/>
          <w:spacing w:val="-4"/>
          <w:sz w:val="32"/>
          <w:szCs w:val="32"/>
        </w:rPr>
        <w:t>以上，且创新能力较强、融资能力较强、收入增长较快、服务产品领先的文化企业。特色文化企业，文化内涵丰富、行业地位突出、创意强度较高的文化企业，在东城区主要包括内容创作、创意设计、戏剧演艺以及老字号等企业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第二条 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</w:t>
      </w:r>
      <w:r w:rsidRPr="00C20617">
        <w:rPr>
          <w:rFonts w:eastAsia="仿宋_GB2312" w:hint="eastAsia"/>
          <w:spacing w:val="-4"/>
          <w:sz w:val="32"/>
          <w:szCs w:val="32"/>
        </w:rPr>
        <w:t>领军企业奖励：每年度对业绩突出、区域经济贡献显著的行业领军企业给予奖励。贡献进入前</w:t>
      </w:r>
      <w:r w:rsidRPr="00C20617">
        <w:rPr>
          <w:rFonts w:eastAsia="仿宋_GB2312" w:hint="eastAsia"/>
          <w:spacing w:val="-4"/>
          <w:sz w:val="32"/>
          <w:szCs w:val="32"/>
        </w:rPr>
        <w:t>10</w:t>
      </w:r>
      <w:r w:rsidRPr="00C20617">
        <w:rPr>
          <w:rFonts w:eastAsia="仿宋_GB2312" w:hint="eastAsia"/>
          <w:spacing w:val="-4"/>
          <w:sz w:val="32"/>
          <w:szCs w:val="32"/>
        </w:rPr>
        <w:t>强的，给予</w:t>
      </w:r>
      <w:r w:rsidRPr="00C20617">
        <w:rPr>
          <w:rFonts w:eastAsia="仿宋_GB2312" w:hint="eastAsia"/>
          <w:spacing w:val="-4"/>
          <w:sz w:val="32"/>
          <w:szCs w:val="32"/>
        </w:rPr>
        <w:t>100</w:t>
      </w:r>
      <w:r w:rsidRPr="00C20617">
        <w:rPr>
          <w:rFonts w:eastAsia="仿宋_GB2312" w:hint="eastAsia"/>
          <w:spacing w:val="-4"/>
          <w:sz w:val="32"/>
          <w:szCs w:val="32"/>
        </w:rPr>
        <w:t>万</w:t>
      </w:r>
      <w:r w:rsidRPr="00C20617">
        <w:rPr>
          <w:rFonts w:eastAsia="仿宋_GB2312" w:hint="eastAsia"/>
          <w:spacing w:val="-4"/>
          <w:sz w:val="32"/>
          <w:szCs w:val="32"/>
        </w:rPr>
        <w:lastRenderedPageBreak/>
        <w:t>元奖励；进入前</w:t>
      </w:r>
      <w:r w:rsidRPr="00C20617">
        <w:rPr>
          <w:rFonts w:eastAsia="仿宋_GB2312" w:hint="eastAsia"/>
          <w:spacing w:val="-4"/>
          <w:sz w:val="32"/>
          <w:szCs w:val="32"/>
        </w:rPr>
        <w:t>20</w:t>
      </w:r>
      <w:r w:rsidRPr="00C20617">
        <w:rPr>
          <w:rFonts w:eastAsia="仿宋_GB2312" w:hint="eastAsia"/>
          <w:spacing w:val="-4"/>
          <w:sz w:val="32"/>
          <w:szCs w:val="32"/>
        </w:rPr>
        <w:t>强，但未能进入前</w:t>
      </w:r>
      <w:r w:rsidRPr="00C20617">
        <w:rPr>
          <w:rFonts w:eastAsia="仿宋_GB2312" w:hint="eastAsia"/>
          <w:spacing w:val="-4"/>
          <w:sz w:val="32"/>
          <w:szCs w:val="32"/>
        </w:rPr>
        <w:t>10</w:t>
      </w:r>
      <w:r w:rsidRPr="00C20617">
        <w:rPr>
          <w:rFonts w:eastAsia="仿宋_GB2312" w:hint="eastAsia"/>
          <w:spacing w:val="-4"/>
          <w:sz w:val="32"/>
          <w:szCs w:val="32"/>
        </w:rPr>
        <w:t>强的，给予</w:t>
      </w:r>
      <w:r w:rsidRPr="00C20617">
        <w:rPr>
          <w:rFonts w:eastAsia="仿宋_GB2312" w:hint="eastAsia"/>
          <w:spacing w:val="-4"/>
          <w:sz w:val="32"/>
          <w:szCs w:val="32"/>
        </w:rPr>
        <w:t>80</w:t>
      </w:r>
      <w:r w:rsidRPr="00C20617">
        <w:rPr>
          <w:rFonts w:eastAsia="仿宋_GB2312" w:hint="eastAsia"/>
          <w:spacing w:val="-4"/>
          <w:sz w:val="32"/>
          <w:szCs w:val="32"/>
        </w:rPr>
        <w:t>万元奖励。对新设立或新迁入的年度主营业务收入超过</w:t>
      </w:r>
      <w:r w:rsidRPr="00C20617">
        <w:rPr>
          <w:rFonts w:eastAsia="仿宋_GB2312" w:hint="eastAsia"/>
          <w:spacing w:val="-4"/>
          <w:sz w:val="32"/>
          <w:szCs w:val="32"/>
        </w:rPr>
        <w:t>5</w:t>
      </w:r>
      <w:r w:rsidRPr="00C20617">
        <w:rPr>
          <w:rFonts w:eastAsia="仿宋_GB2312" w:hint="eastAsia"/>
          <w:spacing w:val="-4"/>
          <w:sz w:val="32"/>
          <w:szCs w:val="32"/>
        </w:rPr>
        <w:t>亿元的行业领军企业，根据区域经济贡献，给予最高不超过</w:t>
      </w:r>
      <w:r w:rsidRPr="00C20617">
        <w:rPr>
          <w:rFonts w:eastAsia="仿宋_GB2312" w:hint="eastAsia"/>
          <w:spacing w:val="-4"/>
          <w:sz w:val="32"/>
          <w:szCs w:val="32"/>
        </w:rPr>
        <w:t>500</w:t>
      </w:r>
      <w:r w:rsidRPr="00C20617">
        <w:rPr>
          <w:rFonts w:eastAsia="仿宋_GB2312" w:hint="eastAsia"/>
          <w:spacing w:val="-4"/>
          <w:sz w:val="32"/>
          <w:szCs w:val="32"/>
        </w:rPr>
        <w:t>万元的一次性入驻奖励；对新设立或新迁入的年度主营业务收入超过</w:t>
      </w:r>
      <w:r w:rsidRPr="00C20617">
        <w:rPr>
          <w:rFonts w:eastAsia="仿宋_GB2312" w:hint="eastAsia"/>
          <w:spacing w:val="-4"/>
          <w:sz w:val="32"/>
          <w:szCs w:val="32"/>
        </w:rPr>
        <w:t>3</w:t>
      </w:r>
      <w:r w:rsidRPr="00C20617">
        <w:rPr>
          <w:rFonts w:eastAsia="仿宋_GB2312" w:hint="eastAsia"/>
          <w:spacing w:val="-4"/>
          <w:sz w:val="32"/>
          <w:szCs w:val="32"/>
        </w:rPr>
        <w:t>亿元的行业领军企业，根据区域经济贡献，给予最高不超过</w:t>
      </w:r>
      <w:r w:rsidRPr="00C20617">
        <w:rPr>
          <w:rFonts w:eastAsia="仿宋_GB2312" w:hint="eastAsia"/>
          <w:spacing w:val="-4"/>
          <w:sz w:val="32"/>
          <w:szCs w:val="32"/>
        </w:rPr>
        <w:t>300</w:t>
      </w:r>
      <w:r w:rsidRPr="00C20617">
        <w:rPr>
          <w:rFonts w:eastAsia="仿宋_GB2312" w:hint="eastAsia"/>
          <w:spacing w:val="-4"/>
          <w:sz w:val="32"/>
          <w:szCs w:val="32"/>
        </w:rPr>
        <w:t>万元的一次性入驻奖励。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第三条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上市挂牌奖励：鼓励文化企业通过资本市场规范发展、做大做强，对在国内主板、中小板、创业板以及境外知名市场上市，在国内“新三板”挂牌并获得一定融资的文化企业，给予一次性奖励，具体按照《东城区关于鼓励企业上市挂牌融资的若干措施》执行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第四条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快速成长奖励：对达到高成长型文化企业标准，且具备持续发展能力的企业，给予</w:t>
      </w:r>
      <w:r w:rsidRPr="00C20617">
        <w:rPr>
          <w:rFonts w:eastAsia="仿宋_GB2312" w:hint="eastAsia"/>
          <w:spacing w:val="-4"/>
          <w:sz w:val="32"/>
          <w:szCs w:val="32"/>
        </w:rPr>
        <w:t>50</w:t>
      </w:r>
      <w:r w:rsidRPr="00C20617">
        <w:rPr>
          <w:rFonts w:eastAsia="仿宋_GB2312" w:hint="eastAsia"/>
          <w:spacing w:val="-4"/>
          <w:sz w:val="32"/>
          <w:szCs w:val="32"/>
        </w:rPr>
        <w:t>万元一次性奖励。近两年累计获得投资机构股权融资超过</w:t>
      </w:r>
      <w:r w:rsidRPr="00C20617">
        <w:rPr>
          <w:rFonts w:eastAsia="仿宋_GB2312" w:hint="eastAsia"/>
          <w:spacing w:val="-4"/>
          <w:sz w:val="32"/>
          <w:szCs w:val="32"/>
        </w:rPr>
        <w:t>2000</w:t>
      </w:r>
      <w:r w:rsidRPr="00C20617">
        <w:rPr>
          <w:rFonts w:eastAsia="仿宋_GB2312" w:hint="eastAsia"/>
          <w:spacing w:val="-4"/>
          <w:sz w:val="32"/>
          <w:szCs w:val="32"/>
        </w:rPr>
        <w:t>万元的高成长型文化企业，可申请获得融资总额</w:t>
      </w:r>
      <w:r w:rsidRPr="00C20617">
        <w:rPr>
          <w:rFonts w:eastAsia="仿宋_GB2312" w:hint="eastAsia"/>
          <w:spacing w:val="-4"/>
          <w:sz w:val="32"/>
          <w:szCs w:val="32"/>
        </w:rPr>
        <w:t>1%</w:t>
      </w:r>
      <w:r w:rsidRPr="00C20617">
        <w:rPr>
          <w:rFonts w:eastAsia="仿宋_GB2312" w:hint="eastAsia"/>
          <w:spacing w:val="-4"/>
          <w:sz w:val="32"/>
          <w:szCs w:val="32"/>
        </w:rPr>
        <w:t>的一次性奖励，最高不超过</w:t>
      </w:r>
      <w:r w:rsidRPr="00C20617">
        <w:rPr>
          <w:rFonts w:eastAsia="仿宋_GB2312" w:hint="eastAsia"/>
          <w:spacing w:val="-4"/>
          <w:sz w:val="32"/>
          <w:szCs w:val="32"/>
        </w:rPr>
        <w:t>100</w:t>
      </w:r>
      <w:r w:rsidRPr="00C20617">
        <w:rPr>
          <w:rFonts w:eastAsia="仿宋_GB2312" w:hint="eastAsia"/>
          <w:spacing w:val="-4"/>
          <w:sz w:val="32"/>
          <w:szCs w:val="32"/>
        </w:rPr>
        <w:t>万元。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第五条 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</w:t>
      </w:r>
      <w:r w:rsidRPr="00C20617">
        <w:rPr>
          <w:rFonts w:eastAsia="仿宋_GB2312" w:hint="eastAsia"/>
          <w:spacing w:val="-4"/>
          <w:sz w:val="32"/>
          <w:szCs w:val="32"/>
        </w:rPr>
        <w:t>配套资金奖励：获得北京市“投贷奖”等政策资金奖励的文化企业，可申请东城区文化产业发展专项资金</w:t>
      </w:r>
      <w:r w:rsidRPr="00C20617">
        <w:rPr>
          <w:rFonts w:eastAsia="仿宋_GB2312" w:hint="eastAsia"/>
          <w:spacing w:val="-4"/>
          <w:sz w:val="32"/>
          <w:szCs w:val="32"/>
        </w:rPr>
        <w:t>20%</w:t>
      </w:r>
      <w:r w:rsidRPr="00C20617">
        <w:rPr>
          <w:rFonts w:eastAsia="仿宋_GB2312" w:hint="eastAsia"/>
          <w:spacing w:val="-4"/>
          <w:sz w:val="32"/>
          <w:szCs w:val="32"/>
        </w:rPr>
        <w:t>的配套资金奖励。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第六条 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</w:t>
      </w:r>
      <w:r w:rsidRPr="00C20617">
        <w:rPr>
          <w:rFonts w:eastAsia="仿宋_GB2312" w:hint="eastAsia"/>
          <w:spacing w:val="-4"/>
          <w:sz w:val="32"/>
          <w:szCs w:val="32"/>
        </w:rPr>
        <w:t>特色企业补助：积极推荐特色文化企业申报国家级、市级相关专项资金。优先支持特色文化企业申请东城区文化产业发展专项资金项目补助，具体按照《东城区文化产业发展专项资金管理办法》执行。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第七条 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</w:t>
      </w:r>
      <w:r w:rsidRPr="00C20617">
        <w:rPr>
          <w:rFonts w:eastAsia="仿宋_GB2312" w:hint="eastAsia"/>
          <w:spacing w:val="-4"/>
          <w:sz w:val="32"/>
          <w:szCs w:val="32"/>
        </w:rPr>
        <w:t>产业基金引导：与投资机构合作设立东城文化产业基金，重点投资行业领军企业和高成长型企业。鼓励社会资本投资东城文化产业。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第八条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融资风险分担：东城区与协作银行、担保公司共同发起设立风险池基金，建立信用风险分担和补偿机制，缓释金融机构信贷风险，提高金融机构为文化企业提供融资的积极性。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第九条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专属金融服务：根据文化企业不同特点和经营模式，支持文创银行、文化担保公司、文化租赁公司及文化保险公司等机构运用多种金融工具，开发适合不同领域、不同阶段文化企业的专属金融产品和业务模式，提高服务质量和效率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第十条  </w:t>
      </w:r>
      <w:r w:rsidRPr="00F4208B">
        <w:rPr>
          <w:rFonts w:ascii="仿宋_GB2312" w:eastAsia="仿宋_GB2312" w:hAnsi="黑体" w:hint="eastAsia"/>
          <w:spacing w:val="-4"/>
          <w:sz w:val="32"/>
          <w:szCs w:val="32"/>
        </w:rPr>
        <w:t>服务平台保障：建立文化金融服务中心、文化企业信用促进会和</w:t>
      </w:r>
      <w:r w:rsidRPr="00693E7C">
        <w:rPr>
          <w:rFonts w:eastAsia="仿宋_GB2312" w:hint="eastAsia"/>
          <w:spacing w:val="-4"/>
          <w:sz w:val="32"/>
          <w:szCs w:val="32"/>
        </w:rPr>
        <w:t>文</w:t>
      </w:r>
      <w:r w:rsidRPr="00C20617">
        <w:rPr>
          <w:rFonts w:eastAsia="仿宋_GB2312" w:hint="eastAsia"/>
          <w:spacing w:val="-4"/>
          <w:sz w:val="32"/>
          <w:szCs w:val="32"/>
        </w:rPr>
        <w:t>化产业投融资大数据服务平台，并与北京“文创板”、北京市文创企业上市培育基地等公共服务平台加强合作，通过政府购买服务方式为文化企业提供投融资对接、上市培育、信用促进等服务。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第十一条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空间资源保障：支持文化企业利用东城区疏解腾退空间开展办公经营，区内企业因发展或外区企业因迁入需要拓展经营空间的，可优先入驻区内的产业园区，具体按照市、区相关空间支持政策执行。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第十二条 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</w:t>
      </w:r>
      <w:r w:rsidRPr="00C20617">
        <w:rPr>
          <w:rFonts w:eastAsia="仿宋_GB2312" w:hint="eastAsia"/>
          <w:spacing w:val="-4"/>
          <w:sz w:val="32"/>
          <w:szCs w:val="32"/>
        </w:rPr>
        <w:t>人才支持保障：加强对优秀文化产业人才的引进和培养，为人才在东城创新创业提供优质的服务保障，具体按照市、区相关人才政策执行。</w:t>
      </w:r>
    </w:p>
    <w:p w:rsidR="00C20617" w:rsidRPr="00C20617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 xml:space="preserve">第十三条 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</w:t>
      </w:r>
      <w:r w:rsidRPr="00C20617">
        <w:rPr>
          <w:rFonts w:eastAsia="仿宋_GB2312" w:hint="eastAsia"/>
          <w:spacing w:val="-4"/>
          <w:sz w:val="32"/>
          <w:szCs w:val="32"/>
        </w:rPr>
        <w:t>相同内容已经获得我区其他财政性专项资金资助的，原则上不予支持。享受本办法政策资金支持的企业，原则上不再享受东城区其他财政支持政策，企业可自主从优选择。</w:t>
      </w:r>
    </w:p>
    <w:p w:rsidR="005A7A93" w:rsidRPr="00817D5C" w:rsidRDefault="00C20617" w:rsidP="005B4FAC">
      <w:pPr>
        <w:spacing w:line="590" w:lineRule="exact"/>
        <w:ind w:firstLineChars="200" w:firstLine="627"/>
        <w:rPr>
          <w:rFonts w:eastAsia="仿宋_GB2312"/>
          <w:spacing w:val="-4"/>
          <w:sz w:val="32"/>
          <w:szCs w:val="32"/>
        </w:rPr>
      </w:pPr>
      <w:r w:rsidRPr="00F4208B">
        <w:rPr>
          <w:rFonts w:ascii="仿宋_GB2312" w:eastAsia="仿宋_GB2312" w:hAnsi="黑体" w:hint="eastAsia"/>
          <w:b/>
          <w:spacing w:val="-4"/>
          <w:sz w:val="32"/>
          <w:szCs w:val="32"/>
        </w:rPr>
        <w:t>第十四条</w:t>
      </w:r>
      <w:r w:rsidRPr="00C20617">
        <w:rPr>
          <w:rFonts w:eastAsia="仿宋_GB2312" w:hint="eastAsia"/>
          <w:spacing w:val="-4"/>
          <w:sz w:val="32"/>
          <w:szCs w:val="32"/>
        </w:rPr>
        <w:t xml:space="preserve">  </w:t>
      </w:r>
      <w:r w:rsidRPr="00C20617">
        <w:rPr>
          <w:rFonts w:eastAsia="仿宋_GB2312" w:hint="eastAsia"/>
          <w:spacing w:val="-4"/>
          <w:sz w:val="32"/>
          <w:szCs w:val="32"/>
        </w:rPr>
        <w:t>本办法自发布之日起执行，如遇国家、北京市相关政策调整，以国家、北京市相关政策为准。本办法由东城区文化发展促进中心负责解释。</w:t>
      </w:r>
    </w:p>
    <w:p w:rsidR="005A7A93" w:rsidRPr="003E525F" w:rsidRDefault="005A7A93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5A7A93" w:rsidRPr="003E525F" w:rsidRDefault="00A77B3B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br w:type="page"/>
      </w:r>
    </w:p>
    <w:p w:rsidR="005A7A93" w:rsidRPr="003E525F" w:rsidRDefault="005A7A93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5A7A93" w:rsidRPr="003E525F" w:rsidRDefault="005A7A93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5A7A93" w:rsidRPr="003E525F" w:rsidRDefault="005A7A93" w:rsidP="00F4208B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5A7A93" w:rsidRPr="003E525F" w:rsidRDefault="005A7A93" w:rsidP="00F4208B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5A7A93" w:rsidRPr="003E525F" w:rsidRDefault="005A7A93" w:rsidP="00F4208B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spacing w:line="58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000000" w:rsidRDefault="0090758F">
      <w:pPr>
        <w:pBdr>
          <w:bottom w:val="single" w:sz="4" w:space="1" w:color="auto"/>
        </w:pBdr>
        <w:spacing w:line="580" w:lineRule="exact"/>
        <w:rPr>
          <w:rFonts w:eastAsia="仿宋_GB2312"/>
          <w:spacing w:val="-4"/>
          <w:sz w:val="32"/>
          <w:szCs w:val="32"/>
        </w:rPr>
      </w:pPr>
    </w:p>
    <w:p w:rsidR="001C26BD" w:rsidRPr="00FD6AF1" w:rsidRDefault="001C26BD" w:rsidP="00693E7C">
      <w:pPr>
        <w:pStyle w:val="a8"/>
        <w:spacing w:line="590" w:lineRule="exact"/>
        <w:ind w:left="1069" w:right="341" w:hangingChars="393" w:hanging="1069"/>
        <w:rPr>
          <w:spacing w:val="-4"/>
          <w:szCs w:val="28"/>
        </w:rPr>
      </w:pPr>
      <w:r w:rsidRPr="00FD6AF1">
        <w:rPr>
          <w:spacing w:val="-4"/>
          <w:szCs w:val="28"/>
        </w:rPr>
        <w:t xml:space="preserve">  </w:t>
      </w:r>
      <w:r w:rsidRPr="00FD6AF1">
        <w:rPr>
          <w:spacing w:val="-4"/>
          <w:szCs w:val="28"/>
        </w:rPr>
        <w:t>抄送：</w:t>
      </w:r>
      <w:r w:rsidRPr="00FD6AF1">
        <w:rPr>
          <w:szCs w:val="28"/>
        </w:rPr>
        <w:t>区委各部门，区人大常委会办公室，区政协办公室，</w:t>
      </w:r>
      <w:r w:rsidRPr="00FD6AF1">
        <w:rPr>
          <w:spacing w:val="-4"/>
          <w:szCs w:val="28"/>
        </w:rPr>
        <w:t>区法院，区检察院，</w:t>
      </w:r>
      <w:r w:rsidR="00485E61" w:rsidRPr="00FD6AF1">
        <w:rPr>
          <w:rFonts w:hint="eastAsia"/>
          <w:spacing w:val="-4"/>
          <w:szCs w:val="28"/>
        </w:rPr>
        <w:t>区武装部，各人民团体</w:t>
      </w:r>
      <w:r w:rsidRPr="00FD6AF1">
        <w:rPr>
          <w:spacing w:val="-4"/>
          <w:szCs w:val="28"/>
        </w:rPr>
        <w:t>。</w:t>
      </w:r>
    </w:p>
    <w:p w:rsidR="000A4CD1" w:rsidRDefault="001C26BD" w:rsidP="003830EE">
      <w:pPr>
        <w:pBdr>
          <w:top w:val="single" w:sz="4" w:space="1" w:color="auto"/>
          <w:bottom w:val="single" w:sz="4" w:space="1" w:color="auto"/>
        </w:pBdr>
        <w:spacing w:line="590" w:lineRule="exact"/>
        <w:ind w:firstLineChars="100" w:firstLine="272"/>
        <w:rPr>
          <w:rFonts w:eastAsia="仿宋_GB2312"/>
          <w:spacing w:val="-4"/>
          <w:sz w:val="28"/>
          <w:szCs w:val="28"/>
        </w:rPr>
      </w:pPr>
      <w:r w:rsidRPr="00FD6AF1">
        <w:rPr>
          <w:rFonts w:eastAsia="仿宋_GB2312"/>
          <w:spacing w:val="-4"/>
          <w:sz w:val="28"/>
          <w:szCs w:val="28"/>
        </w:rPr>
        <w:t>北京市东城区人民政府办公室</w:t>
      </w:r>
      <w:r w:rsidRPr="00FD6AF1">
        <w:rPr>
          <w:rFonts w:eastAsia="仿宋_GB2312"/>
          <w:spacing w:val="-4"/>
          <w:sz w:val="28"/>
          <w:szCs w:val="28"/>
        </w:rPr>
        <w:t xml:space="preserve">  </w:t>
      </w:r>
      <w:r w:rsidRPr="00FD6AF1">
        <w:rPr>
          <w:rFonts w:eastAsia="仿宋_GB2312"/>
          <w:spacing w:val="-4"/>
          <w:sz w:val="28"/>
          <w:szCs w:val="28"/>
        </w:rPr>
        <w:t xml:space="preserve">　</w:t>
      </w:r>
      <w:r w:rsidR="00527565">
        <w:rPr>
          <w:rFonts w:eastAsia="仿宋_GB2312" w:hint="eastAsia"/>
          <w:spacing w:val="-4"/>
          <w:sz w:val="28"/>
          <w:szCs w:val="28"/>
        </w:rPr>
        <w:t xml:space="preserve">        </w:t>
      </w:r>
      <w:r w:rsidRPr="00FD6AF1">
        <w:rPr>
          <w:rFonts w:eastAsia="仿宋_GB2312"/>
          <w:spacing w:val="-4"/>
          <w:sz w:val="28"/>
          <w:szCs w:val="28"/>
        </w:rPr>
        <w:t xml:space="preserve">　</w:t>
      </w:r>
      <w:r w:rsidRPr="00FD6AF1">
        <w:rPr>
          <w:rFonts w:eastAsia="仿宋_GB2312"/>
          <w:spacing w:val="-4"/>
          <w:sz w:val="28"/>
          <w:szCs w:val="28"/>
        </w:rPr>
        <w:t xml:space="preserve">  </w:t>
      </w:r>
      <w:r w:rsidR="00C20617" w:rsidRPr="00FD6AF1">
        <w:rPr>
          <w:rFonts w:eastAsia="仿宋_GB2312"/>
          <w:spacing w:val="-4"/>
          <w:sz w:val="28"/>
          <w:szCs w:val="28"/>
        </w:rPr>
        <w:t>20</w:t>
      </w:r>
      <w:r w:rsidR="00C20617">
        <w:rPr>
          <w:rFonts w:eastAsia="仿宋_GB2312" w:hint="eastAsia"/>
          <w:spacing w:val="-4"/>
          <w:sz w:val="28"/>
          <w:szCs w:val="28"/>
        </w:rPr>
        <w:t>19</w:t>
      </w:r>
      <w:r w:rsidRPr="00FD6AF1">
        <w:rPr>
          <w:rFonts w:eastAsia="仿宋_GB2312"/>
          <w:spacing w:val="-4"/>
          <w:sz w:val="28"/>
          <w:szCs w:val="28"/>
        </w:rPr>
        <w:t>年</w:t>
      </w:r>
      <w:r w:rsidR="00C20617">
        <w:rPr>
          <w:rFonts w:eastAsia="仿宋_GB2312" w:hint="eastAsia"/>
          <w:spacing w:val="-4"/>
          <w:sz w:val="28"/>
          <w:szCs w:val="28"/>
        </w:rPr>
        <w:t>4</w:t>
      </w:r>
      <w:r w:rsidRPr="00FD6AF1">
        <w:rPr>
          <w:rFonts w:eastAsia="仿宋_GB2312"/>
          <w:spacing w:val="-4"/>
          <w:sz w:val="28"/>
          <w:szCs w:val="28"/>
        </w:rPr>
        <w:t>月</w:t>
      </w:r>
      <w:r w:rsidR="00F4208B">
        <w:rPr>
          <w:rFonts w:eastAsia="仿宋_GB2312" w:hint="eastAsia"/>
          <w:spacing w:val="-4"/>
          <w:sz w:val="28"/>
          <w:szCs w:val="28"/>
        </w:rPr>
        <w:t>24</w:t>
      </w:r>
      <w:r w:rsidRPr="00FD6AF1">
        <w:rPr>
          <w:rFonts w:eastAsia="仿宋_GB2312"/>
          <w:spacing w:val="-4"/>
          <w:sz w:val="28"/>
          <w:szCs w:val="28"/>
        </w:rPr>
        <w:t>日印发</w:t>
      </w:r>
    </w:p>
    <w:p w:rsidR="008C78EE" w:rsidRPr="000A4CD1" w:rsidRDefault="000A4CD1" w:rsidP="003830EE">
      <w:pPr>
        <w:spacing w:line="590" w:lineRule="exact"/>
        <w:ind w:rightChars="161" w:right="338" w:firstLineChars="200" w:firstLine="544"/>
        <w:jc w:val="right"/>
        <w:rPr>
          <w:rFonts w:eastAsia="仿宋_GB2312"/>
          <w:spacing w:val="-4"/>
          <w:sz w:val="28"/>
          <w:szCs w:val="28"/>
        </w:rPr>
      </w:pPr>
      <w:r w:rsidRPr="000A4CD1">
        <w:rPr>
          <w:rFonts w:eastAsia="仿宋_GB2312"/>
          <w:spacing w:val="-4"/>
          <w:sz w:val="28"/>
          <w:szCs w:val="28"/>
        </w:rPr>
        <w:t>东行规字</w:t>
      </w:r>
      <w:r w:rsidRPr="000A4CD1">
        <w:rPr>
          <w:rFonts w:eastAsia="仿宋_GB2312" w:hint="eastAsia"/>
          <w:spacing w:val="-4"/>
          <w:sz w:val="28"/>
          <w:szCs w:val="28"/>
        </w:rPr>
        <w:t>〔</w:t>
      </w:r>
      <w:r w:rsidR="00C20617" w:rsidRPr="000A4CD1">
        <w:rPr>
          <w:rFonts w:eastAsia="仿宋_GB2312"/>
          <w:spacing w:val="-4"/>
          <w:sz w:val="28"/>
          <w:szCs w:val="28"/>
        </w:rPr>
        <w:t>20</w:t>
      </w:r>
      <w:r w:rsidR="00C20617">
        <w:rPr>
          <w:rFonts w:eastAsia="仿宋_GB2312" w:hint="eastAsia"/>
          <w:spacing w:val="-4"/>
          <w:sz w:val="28"/>
          <w:szCs w:val="28"/>
        </w:rPr>
        <w:t>19</w:t>
      </w:r>
      <w:r w:rsidRPr="000A4CD1">
        <w:rPr>
          <w:rFonts w:eastAsia="仿宋_GB2312" w:hint="eastAsia"/>
          <w:spacing w:val="-4"/>
          <w:sz w:val="28"/>
          <w:szCs w:val="28"/>
        </w:rPr>
        <w:t>〕</w:t>
      </w:r>
      <w:r w:rsidR="007D38C9">
        <w:rPr>
          <w:rFonts w:eastAsia="仿宋_GB2312" w:hint="eastAsia"/>
          <w:spacing w:val="-4"/>
          <w:sz w:val="28"/>
          <w:szCs w:val="28"/>
        </w:rPr>
        <w:t>4</w:t>
      </w:r>
      <w:r w:rsidRPr="000A4CD1">
        <w:rPr>
          <w:rFonts w:eastAsia="仿宋_GB2312"/>
          <w:spacing w:val="-4"/>
          <w:sz w:val="28"/>
          <w:szCs w:val="28"/>
        </w:rPr>
        <w:t>号</w:t>
      </w:r>
    </w:p>
    <w:sectPr w:rsidR="008C78EE" w:rsidRPr="000A4CD1" w:rsidSect="00237B51">
      <w:headerReference w:type="default" r:id="rId6"/>
      <w:footerReference w:type="even" r:id="rId7"/>
      <w:footerReference w:type="default" r:id="rId8"/>
      <w:pgSz w:w="11906" w:h="16838" w:code="9"/>
      <w:pgMar w:top="1928" w:right="1474" w:bottom="1871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E64" w:rsidRDefault="009E3E64">
      <w:r>
        <w:separator/>
      </w:r>
    </w:p>
  </w:endnote>
  <w:endnote w:type="continuationSeparator" w:id="1">
    <w:p w:rsidR="009E3E64" w:rsidRDefault="009E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02" w:rsidRDefault="00360240" w:rsidP="00676B7E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239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902" w:rsidRDefault="00323902" w:rsidP="0032390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33" w:rsidRDefault="00BE6B7A" w:rsidP="00323902">
    <w:pPr>
      <w:pStyle w:val="a5"/>
      <w:framePr w:wrap="around" w:vAnchor="text" w:hAnchor="margin" w:xAlign="outside" w:y="1"/>
      <w:jc w:val="center"/>
      <w:rPr>
        <w:rStyle w:val="a6"/>
        <w:rFonts w:ascii="宋体"/>
        <w:sz w:val="28"/>
      </w:rPr>
    </w:pPr>
    <w:r w:rsidRPr="00BE6B7A">
      <w:rPr>
        <w:rStyle w:val="a6"/>
        <w:rFonts w:ascii="宋体" w:hint="eastAsia"/>
        <w:color w:val="FFFFFF"/>
        <w:kern w:val="0"/>
        <w:sz w:val="28"/>
        <w:szCs w:val="28"/>
      </w:rPr>
      <w:t>—</w:t>
    </w:r>
    <w:r w:rsidR="00466B33">
      <w:rPr>
        <w:rStyle w:val="a6"/>
        <w:rFonts w:ascii="宋体" w:hint="eastAsia"/>
        <w:kern w:val="0"/>
        <w:sz w:val="28"/>
      </w:rPr>
      <w:t>—</w:t>
    </w:r>
    <w:r w:rsidR="00466B33">
      <w:rPr>
        <w:rStyle w:val="a6"/>
        <w:rFonts w:ascii="宋体"/>
        <w:kern w:val="0"/>
        <w:sz w:val="28"/>
      </w:rPr>
      <w:t xml:space="preserve"> </w:t>
    </w:r>
    <w:r w:rsidR="00360240">
      <w:rPr>
        <w:rStyle w:val="a6"/>
        <w:rFonts w:ascii="宋体"/>
        <w:kern w:val="0"/>
        <w:sz w:val="28"/>
      </w:rPr>
      <w:fldChar w:fldCharType="begin"/>
    </w:r>
    <w:r w:rsidR="00466B33">
      <w:rPr>
        <w:rStyle w:val="a6"/>
        <w:rFonts w:ascii="宋体"/>
        <w:kern w:val="0"/>
        <w:sz w:val="28"/>
      </w:rPr>
      <w:instrText xml:space="preserve"> PAGE </w:instrText>
    </w:r>
    <w:r w:rsidR="00360240">
      <w:rPr>
        <w:rStyle w:val="a6"/>
        <w:rFonts w:ascii="宋体"/>
        <w:kern w:val="0"/>
        <w:sz w:val="28"/>
      </w:rPr>
      <w:fldChar w:fldCharType="separate"/>
    </w:r>
    <w:r w:rsidR="0090758F">
      <w:rPr>
        <w:rStyle w:val="a6"/>
        <w:rFonts w:ascii="宋体"/>
        <w:noProof/>
        <w:kern w:val="0"/>
        <w:sz w:val="28"/>
      </w:rPr>
      <w:t>1</w:t>
    </w:r>
    <w:r w:rsidR="00360240">
      <w:rPr>
        <w:rStyle w:val="a6"/>
        <w:rFonts w:ascii="宋体"/>
        <w:kern w:val="0"/>
        <w:sz w:val="28"/>
      </w:rPr>
      <w:fldChar w:fldCharType="end"/>
    </w:r>
    <w:r w:rsidR="00466B33">
      <w:rPr>
        <w:rStyle w:val="a6"/>
        <w:rFonts w:ascii="宋体"/>
        <w:kern w:val="0"/>
        <w:sz w:val="28"/>
      </w:rPr>
      <w:t xml:space="preserve"> </w:t>
    </w:r>
    <w:r>
      <w:rPr>
        <w:rStyle w:val="a6"/>
        <w:rFonts w:ascii="宋体" w:hint="eastAsia"/>
        <w:kern w:val="0"/>
        <w:sz w:val="28"/>
      </w:rPr>
      <w:t>—</w:t>
    </w:r>
    <w:r w:rsidR="00466B33" w:rsidRPr="00BE6B7A">
      <w:rPr>
        <w:rStyle w:val="a6"/>
        <w:rFonts w:ascii="宋体" w:hint="eastAsia"/>
        <w:color w:val="FFFFFF"/>
        <w:kern w:val="0"/>
        <w:sz w:val="28"/>
        <w:szCs w:val="28"/>
      </w:rPr>
      <w:t>—</w:t>
    </w:r>
  </w:p>
  <w:p w:rsidR="00466B33" w:rsidRDefault="00466B33" w:rsidP="0032390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E64" w:rsidRDefault="009E3E64">
      <w:r>
        <w:separator/>
      </w:r>
    </w:p>
  </w:footnote>
  <w:footnote w:type="continuationSeparator" w:id="1">
    <w:p w:rsidR="009E3E64" w:rsidRDefault="009E3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7A" w:rsidRDefault="00BE6B7A" w:rsidP="00655C8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F6B"/>
    <w:rsid w:val="00034B32"/>
    <w:rsid w:val="00045B01"/>
    <w:rsid w:val="000575DB"/>
    <w:rsid w:val="00080EBC"/>
    <w:rsid w:val="000853D3"/>
    <w:rsid w:val="00085F3E"/>
    <w:rsid w:val="000A4CD1"/>
    <w:rsid w:val="000D1893"/>
    <w:rsid w:val="00100EA2"/>
    <w:rsid w:val="00133F54"/>
    <w:rsid w:val="00135C14"/>
    <w:rsid w:val="0013692C"/>
    <w:rsid w:val="0015005E"/>
    <w:rsid w:val="00180A14"/>
    <w:rsid w:val="00185B6B"/>
    <w:rsid w:val="001A3B83"/>
    <w:rsid w:val="001C26BD"/>
    <w:rsid w:val="001F628E"/>
    <w:rsid w:val="001F7B7B"/>
    <w:rsid w:val="0020010B"/>
    <w:rsid w:val="00237B51"/>
    <w:rsid w:val="002416B6"/>
    <w:rsid w:val="00272C9B"/>
    <w:rsid w:val="002864C4"/>
    <w:rsid w:val="002D2557"/>
    <w:rsid w:val="002D5CDE"/>
    <w:rsid w:val="002E26B1"/>
    <w:rsid w:val="002E5322"/>
    <w:rsid w:val="002E546D"/>
    <w:rsid w:val="002E6CE7"/>
    <w:rsid w:val="002E7B6E"/>
    <w:rsid w:val="00312823"/>
    <w:rsid w:val="0031574F"/>
    <w:rsid w:val="00323902"/>
    <w:rsid w:val="00331EE1"/>
    <w:rsid w:val="00346203"/>
    <w:rsid w:val="00346CB3"/>
    <w:rsid w:val="00360240"/>
    <w:rsid w:val="00376EB2"/>
    <w:rsid w:val="003830EE"/>
    <w:rsid w:val="003A3BA6"/>
    <w:rsid w:val="003B0963"/>
    <w:rsid w:val="003D6D7B"/>
    <w:rsid w:val="003D7DA5"/>
    <w:rsid w:val="003E525F"/>
    <w:rsid w:val="0041661C"/>
    <w:rsid w:val="00452989"/>
    <w:rsid w:val="00466B33"/>
    <w:rsid w:val="0047027D"/>
    <w:rsid w:val="00473FF7"/>
    <w:rsid w:val="00482D5C"/>
    <w:rsid w:val="00485E61"/>
    <w:rsid w:val="00497297"/>
    <w:rsid w:val="004C232A"/>
    <w:rsid w:val="004D1212"/>
    <w:rsid w:val="004E4594"/>
    <w:rsid w:val="004F05E7"/>
    <w:rsid w:val="0050141B"/>
    <w:rsid w:val="00516F61"/>
    <w:rsid w:val="0052724E"/>
    <w:rsid w:val="00527565"/>
    <w:rsid w:val="00566359"/>
    <w:rsid w:val="005A7A93"/>
    <w:rsid w:val="005B4FAC"/>
    <w:rsid w:val="00603F1D"/>
    <w:rsid w:val="006118B2"/>
    <w:rsid w:val="00615493"/>
    <w:rsid w:val="0064357E"/>
    <w:rsid w:val="00655C82"/>
    <w:rsid w:val="00676B7E"/>
    <w:rsid w:val="00677A25"/>
    <w:rsid w:val="00681623"/>
    <w:rsid w:val="006878AF"/>
    <w:rsid w:val="00693E7C"/>
    <w:rsid w:val="00693F78"/>
    <w:rsid w:val="006A7D32"/>
    <w:rsid w:val="006B10EE"/>
    <w:rsid w:val="006D4507"/>
    <w:rsid w:val="006D4D8C"/>
    <w:rsid w:val="006E7ED1"/>
    <w:rsid w:val="006F02DB"/>
    <w:rsid w:val="006F3894"/>
    <w:rsid w:val="006F5FA2"/>
    <w:rsid w:val="007070FC"/>
    <w:rsid w:val="00715E93"/>
    <w:rsid w:val="00723737"/>
    <w:rsid w:val="007517F5"/>
    <w:rsid w:val="007C57DF"/>
    <w:rsid w:val="007D38C9"/>
    <w:rsid w:val="007F7EBA"/>
    <w:rsid w:val="00804D08"/>
    <w:rsid w:val="00817D5C"/>
    <w:rsid w:val="0082771B"/>
    <w:rsid w:val="00836A94"/>
    <w:rsid w:val="00875774"/>
    <w:rsid w:val="008848C3"/>
    <w:rsid w:val="00886A61"/>
    <w:rsid w:val="008B26C0"/>
    <w:rsid w:val="008C78EE"/>
    <w:rsid w:val="008D6FBC"/>
    <w:rsid w:val="008E68F5"/>
    <w:rsid w:val="008E6C02"/>
    <w:rsid w:val="00906AC7"/>
    <w:rsid w:val="0090758F"/>
    <w:rsid w:val="009156E4"/>
    <w:rsid w:val="009165E7"/>
    <w:rsid w:val="00920694"/>
    <w:rsid w:val="0092099A"/>
    <w:rsid w:val="00934F6B"/>
    <w:rsid w:val="00954499"/>
    <w:rsid w:val="00987800"/>
    <w:rsid w:val="009A7962"/>
    <w:rsid w:val="009E3E64"/>
    <w:rsid w:val="00A37DD6"/>
    <w:rsid w:val="00A7200B"/>
    <w:rsid w:val="00A76C4F"/>
    <w:rsid w:val="00A77B3B"/>
    <w:rsid w:val="00A86E46"/>
    <w:rsid w:val="00A9292D"/>
    <w:rsid w:val="00AF25EE"/>
    <w:rsid w:val="00AF597E"/>
    <w:rsid w:val="00B05167"/>
    <w:rsid w:val="00B05E27"/>
    <w:rsid w:val="00B35CEB"/>
    <w:rsid w:val="00B40740"/>
    <w:rsid w:val="00B6285E"/>
    <w:rsid w:val="00B84A53"/>
    <w:rsid w:val="00B9757C"/>
    <w:rsid w:val="00BA6E56"/>
    <w:rsid w:val="00BC003F"/>
    <w:rsid w:val="00BD0FC0"/>
    <w:rsid w:val="00BE6B7A"/>
    <w:rsid w:val="00C20617"/>
    <w:rsid w:val="00C22716"/>
    <w:rsid w:val="00C2325F"/>
    <w:rsid w:val="00C250F2"/>
    <w:rsid w:val="00C364BA"/>
    <w:rsid w:val="00C50479"/>
    <w:rsid w:val="00C610B8"/>
    <w:rsid w:val="00C74E0B"/>
    <w:rsid w:val="00C77F25"/>
    <w:rsid w:val="00C80DAE"/>
    <w:rsid w:val="00C824FD"/>
    <w:rsid w:val="00C83E99"/>
    <w:rsid w:val="00CF3087"/>
    <w:rsid w:val="00D40805"/>
    <w:rsid w:val="00D70BBF"/>
    <w:rsid w:val="00D856B9"/>
    <w:rsid w:val="00DA6FEC"/>
    <w:rsid w:val="00DB1E06"/>
    <w:rsid w:val="00DB34F2"/>
    <w:rsid w:val="00DC6121"/>
    <w:rsid w:val="00E03A9F"/>
    <w:rsid w:val="00E04498"/>
    <w:rsid w:val="00E04F30"/>
    <w:rsid w:val="00E05DE0"/>
    <w:rsid w:val="00E26D7E"/>
    <w:rsid w:val="00E4555A"/>
    <w:rsid w:val="00E46C46"/>
    <w:rsid w:val="00E578FB"/>
    <w:rsid w:val="00E64BE0"/>
    <w:rsid w:val="00E66D96"/>
    <w:rsid w:val="00E931D7"/>
    <w:rsid w:val="00F020FF"/>
    <w:rsid w:val="00F223F1"/>
    <w:rsid w:val="00F4208B"/>
    <w:rsid w:val="00F6031E"/>
    <w:rsid w:val="00F77683"/>
    <w:rsid w:val="00F8107D"/>
    <w:rsid w:val="00F843B9"/>
    <w:rsid w:val="00F85462"/>
    <w:rsid w:val="00F85D04"/>
    <w:rsid w:val="00F95FAE"/>
    <w:rsid w:val="00FC4D1A"/>
    <w:rsid w:val="00FD6AF1"/>
    <w:rsid w:val="00FF2C85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78EE"/>
    <w:rPr>
      <w:rFonts w:eastAsia="仿宋_GB2312"/>
      <w:sz w:val="32"/>
      <w:szCs w:val="20"/>
    </w:rPr>
  </w:style>
  <w:style w:type="paragraph" w:styleId="a4">
    <w:name w:val="header"/>
    <w:basedOn w:val="a"/>
    <w:rsid w:val="00D85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85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56B9"/>
  </w:style>
  <w:style w:type="paragraph" w:styleId="a7">
    <w:name w:val="Balloon Text"/>
    <w:basedOn w:val="a"/>
    <w:semiHidden/>
    <w:rsid w:val="00954499"/>
    <w:rPr>
      <w:sz w:val="18"/>
      <w:szCs w:val="18"/>
    </w:rPr>
  </w:style>
  <w:style w:type="paragraph" w:styleId="a8">
    <w:name w:val="Body Text Indent"/>
    <w:basedOn w:val="a"/>
    <w:rsid w:val="001C26BD"/>
    <w:pPr>
      <w:ind w:left="815" w:hanging="815"/>
    </w:pPr>
    <w:rPr>
      <w:rFonts w:eastAsia="仿宋_GB231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312</Words>
  <Characters>1782</Characters>
  <Application>Microsoft Office Word</Application>
  <DocSecurity>0</DocSecurity>
  <Lines>14</Lines>
  <Paragraphs>4</Paragraphs>
  <ScaleCrop>false</ScaleCrop>
  <Company>msk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北京市东城区人民政府</dc:title>
  <dc:subject/>
  <dc:creator>user</dc:creator>
  <cp:keywords/>
  <dc:description/>
  <cp:lastModifiedBy>李洪</cp:lastModifiedBy>
  <cp:revision>4</cp:revision>
  <cp:lastPrinted>2014-11-27T03:46:00Z</cp:lastPrinted>
  <dcterms:created xsi:type="dcterms:W3CDTF">2019-04-24T03:06:00Z</dcterms:created>
  <dcterms:modified xsi:type="dcterms:W3CDTF">2019-04-24T08:48:00Z</dcterms:modified>
</cp:coreProperties>
</file>