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6"/>
        <w:widowControl w:val="0"/>
        <w:spacing w:before="0" w:beforeAutospacing="0" w:after="0" w:afterAutospacing="0" w:line="560" w:lineRule="exact"/>
        <w:jc w:val="both"/>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附件2</w:t>
      </w:r>
    </w:p>
    <w:p>
      <w:pPr>
        <w:pStyle w:val="6"/>
        <w:widowControl w:val="0"/>
        <w:spacing w:before="0" w:beforeAutospacing="0" w:after="0" w:afterAutospacing="0" w:line="560" w:lineRule="exact"/>
        <w:jc w:val="both"/>
        <w:rPr>
          <w:rFonts w:hint="default" w:ascii="黑体" w:hAnsi="黑体" w:eastAsia="黑体"/>
          <w:color w:val="auto"/>
          <w:sz w:val="32"/>
          <w:szCs w:val="32"/>
          <w:lang w:val="en-US" w:eastAsia="zh-CN"/>
        </w:rPr>
      </w:pPr>
      <w:bookmarkStart w:id="0" w:name="_GoBack"/>
      <w:bookmarkEnd w:id="0"/>
    </w:p>
    <w:p>
      <w:pPr>
        <w:pStyle w:val="11"/>
        <w:widowControl w:val="0"/>
        <w:adjustRightInd w:val="0"/>
        <w:spacing w:before="0" w:after="0" w:line="700" w:lineRule="exact"/>
        <w:rPr>
          <w:rFonts w:ascii="方正小标宋简体" w:hAnsi="宋体" w:eastAsia="方正小标宋简体" w:cs="黑体"/>
          <w:bCs/>
          <w:sz w:val="44"/>
          <w:szCs w:val="44"/>
        </w:rPr>
      </w:pPr>
      <w:r>
        <w:rPr>
          <w:rFonts w:hint="eastAsia" w:ascii="方正小标宋简体" w:hAnsi="宋体" w:eastAsia="方正小标宋简体" w:cs="黑体"/>
          <w:bCs/>
          <w:sz w:val="44"/>
          <w:szCs w:val="44"/>
        </w:rPr>
        <w:t>文化及相关产业分类（2018）</w:t>
      </w:r>
    </w:p>
    <w:p/>
    <w:p>
      <w:pPr>
        <w:spacing w:line="600" w:lineRule="exact"/>
        <w:ind w:firstLine="672" w:firstLineChars="200"/>
        <w:rPr>
          <w:rFonts w:ascii="黑体" w:hAnsi="黑体" w:eastAsia="黑体"/>
          <w:bCs/>
          <w:color w:val="000000"/>
          <w:spacing w:val="8"/>
          <w:sz w:val="32"/>
          <w:szCs w:val="32"/>
        </w:rPr>
      </w:pPr>
      <w:r>
        <w:rPr>
          <w:rFonts w:hint="eastAsia" w:ascii="黑体" w:hAnsi="黑体" w:eastAsia="黑体" w:cs="楷体_GB2312"/>
          <w:bCs/>
          <w:color w:val="000000"/>
          <w:spacing w:val="8"/>
          <w:sz w:val="32"/>
          <w:szCs w:val="32"/>
        </w:rPr>
        <w:t>一、分类目的和作用</w:t>
      </w:r>
    </w:p>
    <w:p>
      <w:pPr>
        <w:spacing w:line="60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（一</w:t>
      </w:r>
      <w:r>
        <w:rPr>
          <w:rFonts w:ascii="仿宋_GB2312" w:hAnsi="楷体" w:eastAsia="仿宋_GB2312"/>
          <w:color w:val="000000"/>
          <w:sz w:val="32"/>
          <w:szCs w:val="32"/>
        </w:rPr>
        <w:t>）</w:t>
      </w:r>
      <w:r>
        <w:rPr>
          <w:rFonts w:hint="eastAsia" w:ascii="仿宋_GB2312" w:hAnsi="楷体" w:eastAsia="仿宋_GB2312"/>
          <w:color w:val="000000"/>
          <w:sz w:val="32"/>
          <w:szCs w:val="32"/>
        </w:rPr>
        <w:t>为深化文化体制改革和持续推进社会主义文化强国建设提供统计保障，建立科学可行的文化及相关产业统计制度，制定本分类。</w:t>
      </w:r>
    </w:p>
    <w:p>
      <w:pPr>
        <w:spacing w:line="600" w:lineRule="exact"/>
        <w:ind w:firstLine="624" w:firstLineChars="200"/>
        <w:rPr>
          <w:rFonts w:ascii="仿宋_GB2312" w:eastAsia="仿宋_GB2312"/>
          <w:color w:val="000000"/>
          <w:sz w:val="32"/>
          <w:szCs w:val="32"/>
        </w:rPr>
      </w:pPr>
      <w:r>
        <w:rPr>
          <w:rFonts w:hint="eastAsia" w:ascii="仿宋_GB2312" w:hAnsi="宋体" w:eastAsia="仿宋_GB2312" w:cs="宋体"/>
          <w:color w:val="000000"/>
          <w:spacing w:val="-4"/>
          <w:sz w:val="32"/>
          <w:szCs w:val="32"/>
        </w:rPr>
        <w:t>（二</w:t>
      </w:r>
      <w:r>
        <w:rPr>
          <w:rFonts w:ascii="仿宋_GB2312" w:hAnsi="宋体" w:eastAsia="仿宋_GB2312" w:cs="宋体"/>
          <w:color w:val="000000"/>
          <w:spacing w:val="-4"/>
          <w:sz w:val="32"/>
          <w:szCs w:val="32"/>
        </w:rPr>
        <w:t>）</w:t>
      </w:r>
      <w:r>
        <w:rPr>
          <w:rFonts w:hint="eastAsia" w:ascii="仿宋_GB2312" w:hAnsi="宋体" w:eastAsia="仿宋_GB2312" w:cs="宋体"/>
          <w:color w:val="000000"/>
          <w:spacing w:val="-4"/>
          <w:sz w:val="32"/>
          <w:szCs w:val="32"/>
        </w:rPr>
        <w:t>本分类为反映我国文化及相关产业生产活动提供标准分类依据，为文化及相关产业统计提供统一的定义和范围，为发展文化产业、推进社会主义文化繁荣兴盛提供统计服务。</w:t>
      </w:r>
    </w:p>
    <w:p>
      <w:pPr>
        <w:spacing w:line="600" w:lineRule="exact"/>
        <w:ind w:firstLine="672" w:firstLineChars="200"/>
        <w:rPr>
          <w:rFonts w:ascii="黑体" w:hAnsi="黑体" w:eastAsia="黑体" w:cs="楷体_GB2312"/>
          <w:bCs/>
          <w:color w:val="000000"/>
          <w:spacing w:val="8"/>
          <w:sz w:val="32"/>
          <w:szCs w:val="32"/>
        </w:rPr>
      </w:pPr>
      <w:r>
        <w:rPr>
          <w:rFonts w:hint="eastAsia" w:ascii="黑体" w:hAnsi="黑体" w:eastAsia="黑体" w:cs="楷体_GB2312"/>
          <w:bCs/>
          <w:color w:val="000000"/>
          <w:spacing w:val="8"/>
          <w:sz w:val="32"/>
          <w:szCs w:val="32"/>
        </w:rPr>
        <w:t>二、分类定义</w:t>
      </w:r>
      <w:r>
        <w:rPr>
          <w:rFonts w:ascii="黑体" w:hAnsi="黑体" w:eastAsia="黑体" w:cs="楷体_GB2312"/>
          <w:bCs/>
          <w:color w:val="000000"/>
          <w:spacing w:val="8"/>
          <w:sz w:val="32"/>
          <w:szCs w:val="32"/>
        </w:rPr>
        <w:t>和</w:t>
      </w:r>
      <w:r>
        <w:rPr>
          <w:rFonts w:hint="eastAsia" w:ascii="黑体" w:hAnsi="黑体" w:eastAsia="黑体" w:cs="楷体_GB2312"/>
          <w:bCs/>
          <w:color w:val="000000"/>
          <w:spacing w:val="8"/>
          <w:sz w:val="32"/>
          <w:szCs w:val="32"/>
        </w:rPr>
        <w:t>范围</w:t>
      </w:r>
    </w:p>
    <w:p>
      <w:pPr>
        <w:spacing w:line="600" w:lineRule="exact"/>
        <w:ind w:firstLine="624" w:firstLineChars="200"/>
        <w:rPr>
          <w:rFonts w:hint="eastAsia" w:ascii="楷体_GB2312" w:hAnsi="宋体" w:eastAsia="楷体_GB2312" w:cs="宋体"/>
          <w:spacing w:val="-4"/>
          <w:sz w:val="32"/>
          <w:szCs w:val="32"/>
          <w:lang w:eastAsia="zh-CN"/>
        </w:rPr>
      </w:pPr>
      <w:r>
        <w:rPr>
          <w:rFonts w:hint="eastAsia" w:ascii="楷体_GB2312" w:hAnsi="宋体" w:eastAsia="楷体_GB2312" w:cs="宋体"/>
          <w:spacing w:val="-4"/>
          <w:sz w:val="32"/>
          <w:szCs w:val="32"/>
        </w:rPr>
        <w:t>（一</w:t>
      </w:r>
      <w:r>
        <w:rPr>
          <w:rFonts w:ascii="楷体_GB2312" w:hAnsi="宋体" w:eastAsia="楷体_GB2312" w:cs="宋体"/>
          <w:spacing w:val="-4"/>
          <w:sz w:val="32"/>
          <w:szCs w:val="32"/>
        </w:rPr>
        <w:t>）</w:t>
      </w:r>
      <w:r>
        <w:rPr>
          <w:rFonts w:hint="eastAsia" w:ascii="楷体_GB2312" w:hAnsi="宋体" w:eastAsia="楷体_GB2312" w:cs="宋体"/>
          <w:spacing w:val="-4"/>
          <w:sz w:val="32"/>
          <w:szCs w:val="32"/>
        </w:rPr>
        <w:t>定义</w:t>
      </w:r>
    </w:p>
    <w:p>
      <w:pPr>
        <w:spacing w:line="600" w:lineRule="exact"/>
        <w:ind w:firstLine="624" w:firstLineChars="200"/>
        <w:rPr>
          <w:rFonts w:ascii="仿宋_GB2312" w:hAnsi="宋体" w:eastAsia="仿宋_GB2312" w:cs="宋体"/>
          <w:color w:val="000000"/>
          <w:spacing w:val="-4"/>
          <w:sz w:val="32"/>
          <w:szCs w:val="32"/>
        </w:rPr>
      </w:pPr>
      <w:r>
        <w:rPr>
          <w:rFonts w:hint="eastAsia" w:ascii="仿宋_GB2312" w:hAnsi="宋体" w:eastAsia="仿宋_GB2312" w:cs="宋体"/>
          <w:color w:val="000000"/>
          <w:spacing w:val="-4"/>
          <w:sz w:val="32"/>
          <w:szCs w:val="32"/>
        </w:rPr>
        <w:t>本分类规定的文化及相关产业是指为社会公众提供文化产品和文化相关产品的生产活动的集合。</w:t>
      </w:r>
    </w:p>
    <w:p>
      <w:pPr>
        <w:spacing w:line="600" w:lineRule="exact"/>
        <w:ind w:firstLine="624" w:firstLineChars="200"/>
        <w:rPr>
          <w:rFonts w:hint="eastAsia" w:ascii="楷体_GB2312" w:hAnsi="宋体" w:eastAsia="楷体_GB2312" w:cs="宋体"/>
          <w:spacing w:val="-4"/>
          <w:sz w:val="32"/>
          <w:szCs w:val="32"/>
          <w:lang w:eastAsia="zh-CN"/>
        </w:rPr>
      </w:pPr>
      <w:r>
        <w:rPr>
          <w:rFonts w:hint="eastAsia" w:ascii="楷体_GB2312" w:hAnsi="宋体" w:eastAsia="楷体_GB2312" w:cs="宋体"/>
          <w:spacing w:val="-4"/>
          <w:sz w:val="32"/>
          <w:szCs w:val="32"/>
        </w:rPr>
        <w:t>（二</w:t>
      </w:r>
      <w:r>
        <w:rPr>
          <w:rFonts w:ascii="楷体_GB2312" w:hAnsi="宋体" w:eastAsia="楷体_GB2312" w:cs="宋体"/>
          <w:spacing w:val="-4"/>
          <w:sz w:val="32"/>
          <w:szCs w:val="32"/>
        </w:rPr>
        <w:t>）</w:t>
      </w:r>
      <w:r>
        <w:rPr>
          <w:rFonts w:hint="eastAsia" w:ascii="楷体_GB2312" w:hAnsi="宋体" w:eastAsia="楷体_GB2312" w:cs="宋体"/>
          <w:spacing w:val="-4"/>
          <w:sz w:val="32"/>
          <w:szCs w:val="32"/>
        </w:rPr>
        <w:t>范围</w:t>
      </w:r>
    </w:p>
    <w:p>
      <w:pPr>
        <w:spacing w:line="600" w:lineRule="exact"/>
        <w:ind w:firstLine="624" w:firstLineChars="200"/>
        <w:rPr>
          <w:rFonts w:ascii="仿宋_GB2312" w:hAnsi="宋体" w:eastAsia="仿宋_GB2312" w:cs="宋体"/>
          <w:color w:val="000000"/>
          <w:spacing w:val="-4"/>
          <w:sz w:val="32"/>
          <w:szCs w:val="32"/>
        </w:rPr>
      </w:pPr>
      <w:r>
        <w:rPr>
          <w:rFonts w:hint="eastAsia" w:ascii="仿宋_GB2312" w:hAnsi="宋体" w:eastAsia="仿宋_GB2312" w:cs="宋体"/>
          <w:color w:val="000000"/>
          <w:spacing w:val="-4"/>
          <w:sz w:val="32"/>
          <w:szCs w:val="32"/>
        </w:rPr>
        <w:t>1.以文化为核心内容，为直接满足人们的精神需要而进行的创作、制造、传播、展示等文化产品（包括货物和服务）的生产活动。具体包括新闻信息服务、内容创作生产、创意设计服务、文化传播渠道、文化投资</w:t>
      </w:r>
      <w:r>
        <w:rPr>
          <w:rFonts w:ascii="仿宋_GB2312" w:hAnsi="宋体" w:eastAsia="仿宋_GB2312" w:cs="宋体"/>
          <w:color w:val="000000"/>
          <w:spacing w:val="-4"/>
          <w:sz w:val="32"/>
          <w:szCs w:val="32"/>
        </w:rPr>
        <w:t>运营</w:t>
      </w:r>
      <w:r>
        <w:rPr>
          <w:rFonts w:hint="eastAsia" w:ascii="仿宋_GB2312" w:hAnsi="宋体" w:eastAsia="仿宋_GB2312" w:cs="宋体"/>
          <w:color w:val="000000"/>
          <w:spacing w:val="-4"/>
          <w:sz w:val="32"/>
          <w:szCs w:val="32"/>
        </w:rPr>
        <w:t>和文化娱乐休闲服务等活动。</w:t>
      </w:r>
      <w:r>
        <w:rPr>
          <w:rFonts w:ascii="仿宋_GB2312" w:hAnsi="宋体" w:eastAsia="仿宋_GB2312" w:cs="宋体"/>
          <w:color w:val="000000"/>
          <w:spacing w:val="-4"/>
          <w:sz w:val="32"/>
          <w:szCs w:val="32"/>
        </w:rPr>
        <w:t xml:space="preserve"> </w:t>
      </w:r>
    </w:p>
    <w:p>
      <w:pPr>
        <w:spacing w:line="600" w:lineRule="exact"/>
        <w:ind w:firstLine="624" w:firstLineChars="200"/>
        <w:rPr>
          <w:rFonts w:ascii="仿宋_GB2312" w:hAnsi="宋体" w:eastAsia="仿宋_GB2312" w:cs="楷体_GB2312"/>
          <w:color w:val="000000"/>
          <w:spacing w:val="6"/>
          <w:sz w:val="32"/>
          <w:szCs w:val="32"/>
        </w:rPr>
      </w:pPr>
      <w:r>
        <w:rPr>
          <w:rFonts w:hint="eastAsia" w:ascii="仿宋_GB2312" w:hAnsi="宋体" w:eastAsia="仿宋_GB2312" w:cs="宋体"/>
          <w:color w:val="000000"/>
          <w:spacing w:val="-4"/>
          <w:sz w:val="32"/>
          <w:szCs w:val="32"/>
        </w:rPr>
        <w:t>2.为实现文化产品的生产活动所需的文化辅助生产和中介</w:t>
      </w:r>
      <w:r>
        <w:rPr>
          <w:rFonts w:ascii="仿宋_GB2312" w:hAnsi="宋体" w:eastAsia="仿宋_GB2312" w:cs="宋体"/>
          <w:color w:val="000000"/>
          <w:spacing w:val="-4"/>
          <w:sz w:val="32"/>
          <w:szCs w:val="32"/>
        </w:rPr>
        <w:t>服务、</w:t>
      </w:r>
      <w:r>
        <w:rPr>
          <w:rFonts w:hint="eastAsia" w:ascii="仿宋_GB2312" w:hAnsi="宋体" w:eastAsia="仿宋_GB2312" w:cs="宋体"/>
          <w:color w:val="000000"/>
          <w:spacing w:val="-4"/>
          <w:sz w:val="32"/>
          <w:szCs w:val="32"/>
        </w:rPr>
        <w:t xml:space="preserve">文化装备生产和文化消费终端生产（包括制造和销售）等活动。 </w:t>
      </w:r>
    </w:p>
    <w:p>
      <w:pPr>
        <w:spacing w:line="600" w:lineRule="exact"/>
        <w:ind w:firstLine="420" w:firstLineChars="200"/>
        <w:rPr>
          <w:rFonts w:ascii="黑体" w:hAnsi="黑体" w:eastAsia="黑体" w:cs="楷体_GB2312"/>
          <w:bCs/>
          <w:spacing w:val="8"/>
          <w:sz w:val="32"/>
          <w:szCs w:val="32"/>
        </w:rPr>
      </w:pPr>
      <w:r>
        <w:t>　　</w:t>
      </w:r>
      <w:r>
        <w:rPr>
          <w:rFonts w:hint="eastAsia" w:ascii="黑体" w:hAnsi="黑体" w:eastAsia="黑体" w:cs="楷体_GB2312"/>
          <w:bCs/>
          <w:spacing w:val="8"/>
          <w:sz w:val="32"/>
          <w:szCs w:val="32"/>
        </w:rPr>
        <w:t>三、编制原则</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（一）以《国民经济行业分类》为基础</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本分类以《国民经济行业分类》（GB/T 4754—2017）为基础，根据文化生产活动的特点，将行业分类中相关的类别重新组合，是《国民经济行业分类》的派生分类。</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（二）兼顾文化管理需要和可操作性</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根据我国文化体制改革和发展的实际，本分类在考虑文化生产活动特点的同时，兼顾文化主管部门管理的需要；同时立足于现行统计制度和方法，充分考虑分类的可操作性。</w:t>
      </w:r>
    </w:p>
    <w:p>
      <w:pPr>
        <w:spacing w:line="600" w:lineRule="exact"/>
        <w:ind w:firstLine="624" w:firstLineChars="200"/>
        <w:rPr>
          <w:rFonts w:ascii="楷体_GB2312" w:hAnsi="宋体" w:eastAsia="楷体_GB2312" w:cs="宋体"/>
          <w:spacing w:val="-4"/>
          <w:sz w:val="32"/>
          <w:szCs w:val="32"/>
        </w:rPr>
      </w:pPr>
      <w:r>
        <w:rPr>
          <w:rFonts w:hint="eastAsia" w:ascii="楷体_GB2312" w:hAnsi="宋体" w:eastAsia="楷体_GB2312" w:cs="宋体"/>
          <w:spacing w:val="-4"/>
          <w:sz w:val="32"/>
          <w:szCs w:val="32"/>
        </w:rPr>
        <w:t>（三）与国际分类标准相衔接</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本分类借鉴了联合国教科文组织的《文化统计框架—2009》的分类方法，在定义和覆盖范围上与其衔接。</w:t>
      </w:r>
    </w:p>
    <w:p>
      <w:pPr>
        <w:spacing w:line="600" w:lineRule="exact"/>
        <w:ind w:firstLine="672" w:firstLineChars="200"/>
        <w:rPr>
          <w:rFonts w:ascii="黑体" w:hAnsi="黑体" w:eastAsia="黑体" w:cs="楷体_GB2312"/>
          <w:bCs/>
          <w:spacing w:val="8"/>
          <w:sz w:val="32"/>
          <w:szCs w:val="32"/>
        </w:rPr>
      </w:pPr>
      <w:r>
        <w:rPr>
          <w:rFonts w:hint="eastAsia" w:ascii="黑体" w:hAnsi="黑体" w:eastAsia="黑体" w:cs="楷体_GB2312"/>
          <w:bCs/>
          <w:spacing w:val="8"/>
          <w:sz w:val="32"/>
          <w:szCs w:val="32"/>
        </w:rPr>
        <w:t>四、结构和编码</w:t>
      </w:r>
    </w:p>
    <w:p>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本分类采用线分类法和分层次编码方法，将文化及相关产业划分为三层，分别用阿拉伯数字编码表示。第一层为大类，用01</w:t>
      </w:r>
      <w:r>
        <w:rPr>
          <w:rFonts w:ascii="仿宋_GB2312" w:hAnsi="宋体" w:eastAsia="仿宋_GB2312" w:cs="宋体"/>
          <w:sz w:val="32"/>
          <w:szCs w:val="32"/>
        </w:rPr>
        <w:t>-09</w:t>
      </w:r>
      <w:r>
        <w:rPr>
          <w:rFonts w:hint="eastAsia" w:ascii="仿宋_GB2312" w:hAnsi="宋体" w:eastAsia="仿宋_GB2312" w:cs="宋体"/>
          <w:sz w:val="32"/>
          <w:szCs w:val="32"/>
        </w:rPr>
        <w:t>数字表示，共有</w:t>
      </w:r>
      <w:r>
        <w:rPr>
          <w:rFonts w:ascii="仿宋_GB2312" w:hAnsi="宋体" w:eastAsia="仿宋_GB2312" w:cs="宋体"/>
          <w:sz w:val="32"/>
          <w:szCs w:val="32"/>
        </w:rPr>
        <w:t>9</w:t>
      </w:r>
      <w:r>
        <w:rPr>
          <w:rFonts w:hint="eastAsia" w:ascii="仿宋_GB2312" w:hAnsi="宋体" w:eastAsia="仿宋_GB2312" w:cs="宋体"/>
          <w:sz w:val="32"/>
          <w:szCs w:val="32"/>
        </w:rPr>
        <w:t>个大类；第二层为中类，用3位数字表示，共有</w:t>
      </w:r>
      <w:r>
        <w:rPr>
          <w:rFonts w:ascii="仿宋_GB2312" w:hAnsi="宋体" w:eastAsia="仿宋_GB2312" w:cs="宋体"/>
          <w:sz w:val="32"/>
          <w:szCs w:val="32"/>
        </w:rPr>
        <w:t>43</w:t>
      </w:r>
      <w:r>
        <w:rPr>
          <w:rFonts w:hint="eastAsia" w:ascii="仿宋_GB2312" w:hAnsi="宋体" w:eastAsia="仿宋_GB2312" w:cs="宋体"/>
          <w:sz w:val="32"/>
          <w:szCs w:val="32"/>
        </w:rPr>
        <w:t>个中类；第三层为小类，用4位数字表示，共有1</w:t>
      </w:r>
      <w:r>
        <w:rPr>
          <w:rFonts w:ascii="仿宋_GB2312" w:hAnsi="宋体" w:eastAsia="仿宋_GB2312" w:cs="宋体"/>
          <w:sz w:val="32"/>
          <w:szCs w:val="32"/>
        </w:rPr>
        <w:t>46</w:t>
      </w:r>
      <w:r>
        <w:rPr>
          <w:rFonts w:hint="eastAsia" w:ascii="仿宋_GB2312" w:hAnsi="宋体" w:eastAsia="仿宋_GB2312" w:cs="宋体"/>
          <w:sz w:val="32"/>
          <w:szCs w:val="32"/>
        </w:rPr>
        <w:t>个小类。</w:t>
      </w:r>
    </w:p>
    <w:p>
      <w:pPr>
        <w:spacing w:line="600" w:lineRule="exact"/>
        <w:ind w:firstLine="624" w:firstLineChars="200"/>
        <w:rPr>
          <w:rFonts w:ascii="仿宋_GB2312" w:hAnsi="宋体" w:eastAsia="仿宋_GB2312" w:cs="宋体"/>
          <w:spacing w:val="-4"/>
          <w:sz w:val="32"/>
          <w:szCs w:val="32"/>
        </w:rPr>
      </w:pPr>
    </w:p>
    <w:p>
      <w:pPr>
        <w:spacing w:line="600" w:lineRule="exact"/>
        <w:ind w:firstLine="624" w:firstLineChars="200"/>
        <w:rPr>
          <w:rFonts w:ascii="仿宋_GB2312" w:hAnsi="宋体" w:eastAsia="仿宋_GB2312" w:cs="宋体"/>
          <w:spacing w:val="-4"/>
          <w:sz w:val="32"/>
          <w:szCs w:val="32"/>
        </w:rPr>
      </w:pPr>
    </w:p>
    <w:p>
      <w:pPr>
        <w:spacing w:line="600" w:lineRule="exact"/>
        <w:ind w:firstLine="624" w:firstLineChars="200"/>
        <w:rPr>
          <w:rFonts w:ascii="仿宋_GB2312" w:hAnsi="宋体" w:eastAsia="仿宋_GB2312" w:cs="宋体"/>
          <w:spacing w:val="-4"/>
          <w:sz w:val="32"/>
          <w:szCs w:val="32"/>
        </w:rPr>
      </w:pP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本分类代码结构: </w:t>
      </w:r>
    </w:p>
    <w:p>
      <w:pPr>
        <w:pStyle w:val="12"/>
        <w:spacing w:after="0" w:line="600" w:lineRule="exact"/>
        <w:ind w:firstLine="660" w:firstLineChars="300"/>
        <w:jc w:val="both"/>
        <w:rPr>
          <w:rFonts w:ascii="仿宋_GB2312" w:hAnsi="黑体" w:eastAsia="仿宋_GB2312" w:cs="Times New Roman"/>
          <w:b/>
          <w:bCs/>
          <w:color w:val="000000"/>
          <w:spacing w:val="-4"/>
          <w:sz w:val="30"/>
          <w:szCs w:val="30"/>
        </w:rPr>
      </w:pPr>
      <w:r>
        <mc:AlternateContent>
          <mc:Choice Requires="wps">
            <w:drawing>
              <wp:anchor distT="0" distB="0" distL="114300" distR="114300" simplePos="0" relativeHeight="251669504" behindDoc="0" locked="0" layoutInCell="1" allowOverlap="1">
                <wp:simplePos x="0" y="0"/>
                <wp:positionH relativeFrom="column">
                  <wp:posOffset>944880</wp:posOffset>
                </wp:positionH>
                <wp:positionV relativeFrom="paragraph">
                  <wp:posOffset>323850</wp:posOffset>
                </wp:positionV>
                <wp:extent cx="215900" cy="635"/>
                <wp:effectExtent l="0" t="0" r="0" b="0"/>
                <wp:wrapNone/>
                <wp:docPr id="6" name="肘形连接符 6"/>
                <wp:cNvGraphicFramePr/>
                <a:graphic xmlns:a="http://schemas.openxmlformats.org/drawingml/2006/main">
                  <a:graphicData uri="http://schemas.microsoft.com/office/word/2010/wordprocessingShape">
                    <wps:wsp>
                      <wps:cNvCnPr/>
                      <wps:spPr>
                        <a:xfrm>
                          <a:off x="0" y="0"/>
                          <a:ext cx="215900" cy="635"/>
                        </a:xfrm>
                        <a:prstGeom prst="bentConnector3">
                          <a:avLst>
                            <a:gd name="adj1" fmla="val 130597"/>
                          </a:avLst>
                        </a:prstGeom>
                        <a:ln w="9525" cap="flat" cmpd="sng">
                          <a:solidFill>
                            <a:srgbClr val="000000"/>
                          </a:solidFill>
                          <a:prstDash val="solid"/>
                          <a:miter/>
                          <a:headEnd type="none" w="med" len="med"/>
                          <a:tailEnd type="none" w="med" len="med"/>
                        </a:ln>
                      </wps:spPr>
                      <wps:bodyPr/>
                    </wps:wsp>
                  </a:graphicData>
                </a:graphic>
              </wp:anchor>
            </w:drawing>
          </mc:Choice>
          <mc:Fallback>
            <w:pict>
              <v:shape id="_x0000_s1026" o:spid="_x0000_s1026" o:spt="34" type="#_x0000_t34" style="position:absolute;left:0pt;margin-left:74.4pt;margin-top:25.5pt;height:0.05pt;width:17pt;z-index:251669504;mso-width-relative:page;mso-height-relative:page;" filled="f" stroked="t" coordsize="21600,21600" o:gfxdata="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5DxnLXAAAACQEAAA8AAAAA&#10;AAAAAQAgAAAAIgAAAGRycy9kb3ducmV2LnhtbFBLAQIUABQAAAAIAIdO4kDFmvC1FQIAABsEAAAO&#10;AAAAAAAAAAEAIAAAACYBAABkcnMvZTJvRG9jLnhtbFBLBQYAAAAABgAGAFkBAACtBQAAAAA=&#10;" adj="28209">
                <v:fill on="f" focussize="0,0"/>
                <v:stroke color="#000000"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1400175</wp:posOffset>
                </wp:positionH>
                <wp:positionV relativeFrom="paragraph">
                  <wp:posOffset>325120</wp:posOffset>
                </wp:positionV>
                <wp:extent cx="21590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159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0.25pt;margin-top:25.6pt;height:0pt;width:17pt;z-index:251660288;mso-width-relative:page;mso-height-relative:page;" filled="f" stroked="t" coordsize="21600,21600" o:gfxdata="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Oo98NUAAAAJAQAADwAAAAAAAAABACAAAAAiAAAAZHJzL2Rvd25yZXYueG1s&#10;UEsBAhQAFAAAAAgAh07iQDB3HhT7AQAA6wMAAA4AAAAAAAAAAQAgAAAAJAEAAGRycy9lMm9Eb2Mu&#10;eG1sUEsFBgAAAAAGAAYAWQEAAJE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410845</wp:posOffset>
                </wp:positionH>
                <wp:positionV relativeFrom="paragraph">
                  <wp:posOffset>323850</wp:posOffset>
                </wp:positionV>
                <wp:extent cx="39624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962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2.35pt;margin-top:25.5pt;height:0pt;width:31.2pt;z-index:251659264;mso-width-relative:page;mso-height-relative:page;" filled="f" stroked="t" coordsize="21600,21600" o:gfxdata="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3N5QbVAAAACAEAAA8AAAAAAAAAAQAgAAAAIgAAAGRycy9kb3ducmV2Lnht&#10;bFBLAQIUABQAAAAIAIdO4kAQiWj6/AEAAOsDAAAOAAAAAAAAAAEAIAAAACQBAABkcnMvZTJvRG9j&#10;LnhtbFBLBQYAAAAABgAGAFkBAACS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628015</wp:posOffset>
                </wp:positionH>
                <wp:positionV relativeFrom="paragraph">
                  <wp:posOffset>323850</wp:posOffset>
                </wp:positionV>
                <wp:extent cx="635" cy="1800225"/>
                <wp:effectExtent l="4445" t="0" r="13970" b="9525"/>
                <wp:wrapNone/>
                <wp:docPr id="3" name="直接箭头连接符 3"/>
                <wp:cNvGraphicFramePr/>
                <a:graphic xmlns:a="http://schemas.openxmlformats.org/drawingml/2006/main">
                  <a:graphicData uri="http://schemas.microsoft.com/office/word/2010/wordprocessingShape">
                    <wps:wsp>
                      <wps:cNvCnPr/>
                      <wps:spPr>
                        <a:xfrm>
                          <a:off x="0" y="0"/>
                          <a:ext cx="635" cy="180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9.45pt;margin-top:25.5pt;height:141.75pt;width:0.05pt;z-index:251663360;mso-width-relative:page;mso-height-relative:page;" filled="f" stroked="t" coordsize="21600,21600" o:gfxdata="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4dMX1wAAAAgBAAAPAAAAAAAAAAEAIAAAACIAAABkcnMvZG93bnJl&#10;di54bWxQSwECFAAUAAAACACHTuJAA4r07v4BAADuAwAADgAAAAAAAAABACAAAAAmAQAAZHJzL2Uy&#10;b0RvYy54bWxQSwUGAAAAAAYABgBZAQAAlgUAAAAA&#10;">
                <v:fill on="f" focussize="0,0"/>
                <v:stroke color="#000000" joinstyle="round"/>
                <v:imagedata o:title=""/>
                <o:lock v:ext="edit" aspectratio="f"/>
              </v:shape>
            </w:pict>
          </mc:Fallback>
        </mc:AlternateContent>
      </w:r>
      <w:r>
        <w:rPr>
          <w:rFonts w:hint="eastAsia" w:ascii="仿宋_GB2312" w:hAnsi="黑体" w:eastAsia="仿宋_GB2312" w:cs="仿宋_GB2312"/>
          <w:b/>
          <w:bCs/>
          <w:color w:val="000000"/>
          <w:spacing w:val="-4"/>
          <w:sz w:val="30"/>
          <w:szCs w:val="30"/>
        </w:rPr>
        <w:t>×</w:t>
      </w:r>
      <w:r>
        <mc:AlternateContent>
          <mc:Choice Requires="wps">
            <w:drawing>
              <wp:anchor distT="0" distB="0" distL="114300" distR="114300" simplePos="0" relativeHeight="251661312" behindDoc="0" locked="0" layoutInCell="1" allowOverlap="1">
                <wp:simplePos x="0" y="0"/>
                <wp:positionH relativeFrom="column">
                  <wp:posOffset>1095375</wp:posOffset>
                </wp:positionH>
                <wp:positionV relativeFrom="paragraph">
                  <wp:posOffset>323850</wp:posOffset>
                </wp:positionV>
                <wp:extent cx="635" cy="1066800"/>
                <wp:effectExtent l="4445" t="0" r="13970" b="0"/>
                <wp:wrapNone/>
                <wp:docPr id="4" name="直接箭头连接符 4"/>
                <wp:cNvGraphicFramePr/>
                <a:graphic xmlns:a="http://schemas.openxmlformats.org/drawingml/2006/main">
                  <a:graphicData uri="http://schemas.microsoft.com/office/word/2010/wordprocessingShape">
                    <wps:wsp>
                      <wps:cNvCnPr/>
                      <wps:spPr>
                        <a:xfrm>
                          <a:off x="0" y="0"/>
                          <a:ext cx="635" cy="10668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6.25pt;margin-top:25.5pt;height:84pt;width:0.05pt;z-index:251661312;mso-width-relative:page;mso-height-relative:page;" filled="f" stroked="t" coordsize="21600,21600" o:gfxdata="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bQAtDXAAAACgEAAA8AAAAAAAAAAQAgAAAAIgAAAGRycy9kb3du&#10;cmV2LnhtbFBLAQIUABQAAAAIAIdO4kA8zzSqAAIAAO4DAAAOAAAAAAAAAAEAIAAAACYBAABkcnMv&#10;ZTJvRG9jLnhtbFBLBQYAAAAABgAGAFkBAACY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1495425</wp:posOffset>
                </wp:positionH>
                <wp:positionV relativeFrom="paragraph">
                  <wp:posOffset>323850</wp:posOffset>
                </wp:positionV>
                <wp:extent cx="635" cy="295275"/>
                <wp:effectExtent l="4445" t="0" r="13970" b="9525"/>
                <wp:wrapNone/>
                <wp:docPr id="5" name="直接箭头连接符 5"/>
                <wp:cNvGraphicFramePr/>
                <a:graphic xmlns:a="http://schemas.openxmlformats.org/drawingml/2006/main">
                  <a:graphicData uri="http://schemas.microsoft.com/office/word/2010/wordprocessingShape">
                    <wps:wsp>
                      <wps:cNvCnPr/>
                      <wps:spPr>
                        <a:xfrm>
                          <a:off x="0" y="0"/>
                          <a:ext cx="635" cy="2952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7.75pt;margin-top:25.5pt;height:23.25pt;width:0.05pt;z-index:251662336;mso-width-relative:page;mso-height-relative:page;" filled="f" stroked="t" coordsize="21600,21600" o:gfxdata="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0Zv5NYAAAAJAQAADwAAAAAAAAABACAAAAAiAAAAZHJzL2Rvd25yZXYu&#10;eG1sUEsBAhQAFAAAAAgAh07iQEB8GiL9AQAA7QMAAA4AAAAAAAAAAQAgAAAAJQEAAGRycy9lMm9E&#10;b2MueG1sUEsFBgAAAAAGAAYAWQEAAJQFAAAAAA==&#10;">
                <v:fill on="f" focussize="0,0"/>
                <v:stroke color="#000000" joinstyle="round"/>
                <v:imagedata o:title=""/>
                <o:lock v:ext="edit" aspectratio="f"/>
              </v:shape>
            </w:pict>
          </mc:Fallback>
        </mc:AlternateContent>
      </w:r>
      <w:r>
        <w:rPr>
          <w:rFonts w:hint="eastAsia" w:ascii="仿宋_GB2312" w:hAnsi="黑体" w:eastAsia="仿宋_GB2312" w:cs="仿宋_GB2312"/>
          <w:b/>
          <w:bCs/>
          <w:color w:val="000000"/>
          <w:spacing w:val="-4"/>
          <w:sz w:val="30"/>
          <w:szCs w:val="30"/>
        </w:rPr>
        <w:t>×</w:t>
      </w:r>
      <w:r>
        <w:rPr>
          <w:rFonts w:ascii="仿宋_GB2312" w:hAnsi="黑体" w:eastAsia="仿宋_GB2312" w:cs="仿宋_GB2312"/>
          <w:b/>
          <w:bCs/>
          <w:color w:val="000000"/>
          <w:spacing w:val="-4"/>
          <w:sz w:val="30"/>
          <w:szCs w:val="30"/>
        </w:rPr>
        <w:t xml:space="preserve">  </w:t>
      </w:r>
      <w:r>
        <w:rPr>
          <w:rFonts w:hint="eastAsia" w:ascii="仿宋_GB2312" w:hAnsi="黑体" w:eastAsia="仿宋_GB2312" w:cs="仿宋_GB2312"/>
          <w:b/>
          <w:bCs/>
          <w:color w:val="000000"/>
          <w:spacing w:val="-4"/>
          <w:sz w:val="30"/>
          <w:szCs w:val="30"/>
        </w:rPr>
        <w:t>×</w:t>
      </w:r>
      <w:r>
        <w:rPr>
          <w:rFonts w:hint="eastAsia" w:ascii="仿宋_GB2312" w:hAnsi="黑体" w:eastAsia="仿宋_GB2312" w:cs="仿宋_GB2312"/>
          <w:b/>
          <w:bCs/>
          <w:color w:val="000000"/>
          <w:spacing w:val="-14"/>
          <w:sz w:val="30"/>
          <w:szCs w:val="30"/>
        </w:rPr>
        <w:t xml:space="preserve"> </w:t>
      </w:r>
      <w:r>
        <w:rPr>
          <w:rFonts w:ascii="仿宋_GB2312" w:hAnsi="黑体" w:eastAsia="仿宋_GB2312" w:cs="仿宋_GB2312"/>
          <w:b/>
          <w:bCs/>
          <w:color w:val="000000"/>
          <w:spacing w:val="-14"/>
          <w:sz w:val="30"/>
          <w:szCs w:val="30"/>
        </w:rPr>
        <w:t xml:space="preserve"> </w:t>
      </w:r>
      <w:r>
        <w:rPr>
          <w:rFonts w:hint="eastAsia" w:ascii="仿宋_GB2312" w:hAnsi="黑体" w:eastAsia="仿宋_GB2312" w:cs="仿宋_GB2312"/>
          <w:b/>
          <w:bCs/>
          <w:color w:val="000000"/>
          <w:spacing w:val="-14"/>
          <w:sz w:val="30"/>
          <w:szCs w:val="30"/>
        </w:rPr>
        <w:t xml:space="preserve"> </w:t>
      </w:r>
      <w:r>
        <w:rPr>
          <w:rFonts w:hint="eastAsia" w:ascii="仿宋_GB2312" w:hAnsi="黑体" w:eastAsia="仿宋_GB2312" w:cs="仿宋_GB2312"/>
          <w:b/>
          <w:bCs/>
          <w:color w:val="000000"/>
          <w:spacing w:val="-4"/>
          <w:sz w:val="30"/>
          <w:szCs w:val="30"/>
        </w:rPr>
        <w:t>×</w:t>
      </w:r>
    </w:p>
    <w:p>
      <w:pPr>
        <w:pStyle w:val="12"/>
        <w:spacing w:after="0" w:line="600" w:lineRule="exact"/>
        <w:ind w:firstLine="3960" w:firstLineChars="1800"/>
        <w:jc w:val="both"/>
        <w:rPr>
          <w:rFonts w:ascii="仿宋_GB2312" w:hAnsi="黑体" w:eastAsia="仿宋_GB2312" w:cs="Times New Roman"/>
          <w:color w:val="000000"/>
          <w:spacing w:val="-4"/>
          <w:sz w:val="30"/>
          <w:szCs w:val="30"/>
        </w:rPr>
      </w:pPr>
      <w:r>
        <mc:AlternateContent>
          <mc:Choice Requires="wps">
            <w:drawing>
              <wp:anchor distT="0" distB="0" distL="114300" distR="114300" simplePos="0" relativeHeight="251666432" behindDoc="0" locked="0" layoutInCell="1" allowOverlap="1">
                <wp:simplePos x="0" y="0"/>
                <wp:positionH relativeFrom="column">
                  <wp:posOffset>1495425</wp:posOffset>
                </wp:positionH>
                <wp:positionV relativeFrom="paragraph">
                  <wp:posOffset>238125</wp:posOffset>
                </wp:positionV>
                <wp:extent cx="954405"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44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7.75pt;margin-top:18.75pt;height:0pt;width:75.15pt;z-index:251666432;mso-width-relative:page;mso-height-relative:page;" filled="f" stroked="t" coordsize="21600,21600" o:gfxdata="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egTu1wAAAAkBAAAPAAAAAAAAAAEAIAAAACIAAABkcnMvZG93bnJldi54&#10;bWxQSwECFAAUAAAACACHTuJA0fBSS/sBAADrAwAADgAAAAAAAAABACAAAAAmAQAAZHJzL2Uyb0Rv&#10;Yy54bWxQSwUGAAAAAAYABgBZAQAAk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4355465</wp:posOffset>
                </wp:positionH>
                <wp:positionV relativeFrom="paragraph">
                  <wp:posOffset>180975</wp:posOffset>
                </wp:positionV>
                <wp:extent cx="635" cy="1197610"/>
                <wp:effectExtent l="4445" t="0" r="13970" b="2540"/>
                <wp:wrapNone/>
                <wp:docPr id="10" name="直接箭头连接符 10"/>
                <wp:cNvGraphicFramePr/>
                <a:graphic xmlns:a="http://schemas.openxmlformats.org/drawingml/2006/main">
                  <a:graphicData uri="http://schemas.microsoft.com/office/word/2010/wordprocessingShape">
                    <wps:wsp>
                      <wps:cNvCnPr/>
                      <wps:spPr>
                        <a:xfrm>
                          <a:off x="0" y="0"/>
                          <a:ext cx="635" cy="11976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42.95pt;margin-top:14.25pt;height:94.3pt;width:0.05pt;z-index:251668480;mso-width-relative:page;mso-height-relative:page;" filled="f" stroked="t" coordsize="21600,21600" o:gfxdata="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a8azc2AAAAAoBAAAPAAAAAAAAAAEAIAAAACIAAABkcnMvZG93&#10;bnJldi54bWxQSwECFAAUAAAACACHTuJAaIezBwACAADwAwAADgAAAAAAAAABACAAAAAnAQAAZHJz&#10;L2Uyb0RvYy54bWxQSwUGAAAAAAYABgBZAQAAmQUAAAAA&#10;">
                <v:fill on="f" focussize="0,0"/>
                <v:stroke color="#000000" joinstyle="round"/>
                <v:imagedata o:title=""/>
                <o:lock v:ext="edit" aspectratio="f"/>
              </v:shape>
            </w:pict>
          </mc:Fallback>
        </mc:AlternateContent>
      </w:r>
      <w:r>
        <w:rPr>
          <w:rFonts w:hint="eastAsia" w:ascii="仿宋_GB2312" w:hAnsi="黑体" w:eastAsia="仿宋_GB2312" w:cs="仿宋_GB2312"/>
          <w:color w:val="000000"/>
          <w:spacing w:val="-4"/>
          <w:sz w:val="30"/>
          <w:szCs w:val="30"/>
        </w:rPr>
        <w:t>（数字）小类顺序码</w:t>
      </w:r>
    </w:p>
    <w:p>
      <w:pPr>
        <w:pStyle w:val="12"/>
        <w:spacing w:after="0" w:line="600" w:lineRule="exact"/>
        <w:ind w:firstLine="584" w:firstLineChars="200"/>
        <w:jc w:val="both"/>
        <w:rPr>
          <w:rFonts w:ascii="仿宋_GB2312" w:hAnsi="黑体" w:eastAsia="仿宋_GB2312" w:cs="Times New Roman"/>
          <w:color w:val="000000"/>
          <w:spacing w:val="-4"/>
          <w:sz w:val="30"/>
          <w:szCs w:val="30"/>
        </w:rPr>
      </w:pP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小类代码</w:t>
      </w:r>
    </w:p>
    <w:p>
      <w:pPr>
        <w:pStyle w:val="12"/>
        <w:spacing w:after="0" w:line="600" w:lineRule="exact"/>
        <w:ind w:firstLine="440" w:firstLineChars="200"/>
        <w:jc w:val="both"/>
        <w:rPr>
          <w:rFonts w:ascii="仿宋_GB2312" w:hAnsi="黑体" w:eastAsia="仿宋_GB2312" w:cs="Times New Roman"/>
          <w:color w:val="000000"/>
          <w:spacing w:val="-4"/>
          <w:sz w:val="30"/>
          <w:szCs w:val="30"/>
        </w:rPr>
      </w:pPr>
      <w:r>
        <mc:AlternateContent>
          <mc:Choice Requires="wps">
            <w:drawing>
              <wp:anchor distT="0" distB="0" distL="114300" distR="114300" simplePos="0" relativeHeight="251667456" behindDoc="0" locked="0" layoutInCell="1" allowOverlap="1">
                <wp:simplePos x="0" y="0"/>
                <wp:positionH relativeFrom="column">
                  <wp:posOffset>3282950</wp:posOffset>
                </wp:positionH>
                <wp:positionV relativeFrom="paragraph">
                  <wp:posOffset>171450</wp:posOffset>
                </wp:positionV>
                <wp:extent cx="9525" cy="904875"/>
                <wp:effectExtent l="4445" t="0" r="5080" b="9525"/>
                <wp:wrapNone/>
                <wp:docPr id="8" name="直接箭头连接符 8"/>
                <wp:cNvGraphicFramePr/>
                <a:graphic xmlns:a="http://schemas.openxmlformats.org/drawingml/2006/main">
                  <a:graphicData uri="http://schemas.microsoft.com/office/word/2010/wordprocessingShape">
                    <wps:wsp>
                      <wps:cNvCnPr/>
                      <wps:spPr>
                        <a:xfrm>
                          <a:off x="0" y="0"/>
                          <a:ext cx="9525" cy="904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58.5pt;margin-top:13.5pt;height:71.25pt;width:0.75pt;z-index:251667456;mso-width-relative:page;mso-height-relative:page;" filled="f" stroked="t" coordsize="21600,21600" o:gfxdata="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TJbqO2AAAAAoBAAAPAAAAAAAAAAEAIAAAACIAAABkcnMvZG93bnJldi54&#10;bWxQSwECFAAUAAAACACHTuJAsdylkvoBAADuAwAADgAAAAAAAAABACAAAAAnAQAAZHJzL2Uyb0Rv&#10;Yy54bWxQSwUGAAAAAAYABgBZAQAAk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1095375</wp:posOffset>
                </wp:positionH>
                <wp:positionV relativeFrom="paragraph">
                  <wp:posOffset>247650</wp:posOffset>
                </wp:positionV>
                <wp:extent cx="30480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304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6.25pt;margin-top:19.5pt;height:0pt;width:24pt;z-index:251665408;mso-width-relative:page;mso-height-relative:page;" filled="f" stroked="t" coordsize="21600,21600" o:gfxdata="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neHDR1QAAAAkBAAAPAAAAAAAAAAEAIAAAACIAAABkcnMvZG93bnJldi54&#10;bWxQSwECFAAUAAAACACHTuJA2Vvxff0BAADtAwAADgAAAAAAAAABACAAAAAkAQAAZHJzL2Uyb0Rv&#10;Yy54bWxQSwUGAAAAAAYABgBZAQAAkwUAAAAA&#10;">
                <v:fill on="f" focussize="0,0"/>
                <v:stroke color="#000000" joinstyle="round"/>
                <v:imagedata o:title=""/>
                <o:lock v:ext="edit" aspectratio="f"/>
              </v:shape>
            </w:pict>
          </mc:Fallback>
        </mc:AlternateContent>
      </w: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（数字）中类顺序码</w:t>
      </w:r>
    </w:p>
    <w:p>
      <w:pPr>
        <w:pStyle w:val="12"/>
        <w:spacing w:after="0" w:line="600" w:lineRule="exact"/>
        <w:ind w:firstLine="584" w:firstLineChars="200"/>
        <w:jc w:val="both"/>
        <w:rPr>
          <w:rFonts w:ascii="仿宋_GB2312" w:hAnsi="黑体" w:eastAsia="仿宋_GB2312" w:cs="Times New Roman"/>
          <w:color w:val="000000"/>
          <w:spacing w:val="-4"/>
          <w:sz w:val="30"/>
          <w:szCs w:val="30"/>
        </w:rPr>
      </w:pP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中类代码</w:t>
      </w:r>
    </w:p>
    <w:p>
      <w:pPr>
        <w:pStyle w:val="12"/>
        <w:spacing w:after="0" w:line="600" w:lineRule="exact"/>
        <w:ind w:firstLine="440" w:firstLineChars="200"/>
        <w:jc w:val="both"/>
        <w:rPr>
          <w:rFonts w:ascii="仿宋_GB2312" w:hAnsi="黑体" w:eastAsia="仿宋_GB2312" w:cs="仿宋_GB2312"/>
          <w:color w:val="000000"/>
          <w:spacing w:val="-4"/>
          <w:sz w:val="30"/>
          <w:szCs w:val="30"/>
        </w:rPr>
      </w:pPr>
      <w:r>
        <mc:AlternateContent>
          <mc:Choice Requires="wps">
            <w:drawing>
              <wp:anchor distT="0" distB="0" distL="114300" distR="114300" simplePos="0" relativeHeight="251664384" behindDoc="0" locked="0" layoutInCell="1" allowOverlap="1">
                <wp:simplePos x="0" y="0"/>
                <wp:positionH relativeFrom="column">
                  <wp:posOffset>628650</wp:posOffset>
                </wp:positionH>
                <wp:positionV relativeFrom="paragraph">
                  <wp:posOffset>219075</wp:posOffset>
                </wp:positionV>
                <wp:extent cx="771525"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771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9.5pt;margin-top:17.25pt;height:0pt;width:60.75pt;z-index:251664384;mso-width-relative:page;mso-height-relative:page;" filled="f" stroked="t" coordsize="21600,21600" o:gfxdata="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IqietYAAAAIAQAADwAAAAAAAAABACAAAAAiAAAAZHJzL2Rvd25yZXYueG1s&#10;UEsBAhQAFAAAAAgAh07iQKe58VD6AQAA6wMAAA4AAAAAAAAAAQAgAAAAJQEAAGRycy9lMm9Eb2Mu&#10;eG1sUEsFBgAAAAAGAAYAWQEAAJEFAAAAAA==&#10;">
                <v:fill on="f" focussize="0,0"/>
                <v:stroke color="#000000" joinstyle="round"/>
                <v:imagedata o:title=""/>
                <o:lock v:ext="edit" aspectratio="f"/>
              </v:shape>
            </w:pict>
          </mc:Fallback>
        </mc:AlternateContent>
      </w:r>
      <w:r>
        <w:rPr>
          <w:rFonts w:ascii="仿宋_GB2312" w:hAnsi="黑体" w:eastAsia="仿宋_GB2312" w:cs="仿宋_GB2312"/>
          <w:color w:val="000000"/>
          <w:spacing w:val="-4"/>
          <w:sz w:val="30"/>
          <w:szCs w:val="30"/>
        </w:rPr>
        <w:t xml:space="preserve">            </w:t>
      </w:r>
      <w:r>
        <w:rPr>
          <w:rFonts w:hint="eastAsia" w:ascii="仿宋_GB2312" w:hAnsi="黑体" w:eastAsia="仿宋_GB2312" w:cs="仿宋_GB2312"/>
          <w:color w:val="000000"/>
          <w:spacing w:val="-4"/>
          <w:sz w:val="30"/>
          <w:szCs w:val="30"/>
        </w:rPr>
        <w:t>（数字）大类代码</w:t>
      </w:r>
      <w:r>
        <w:rPr>
          <w:rFonts w:ascii="仿宋_GB2312" w:hAnsi="黑体" w:eastAsia="仿宋_GB2312" w:cs="仿宋_GB2312"/>
          <w:color w:val="000000"/>
          <w:spacing w:val="-4"/>
          <w:sz w:val="30"/>
          <w:szCs w:val="30"/>
        </w:rPr>
        <w:t xml:space="preserve"> </w:t>
      </w:r>
    </w:p>
    <w:p>
      <w:pPr>
        <w:spacing w:line="600" w:lineRule="exact"/>
        <w:ind w:firstLine="672" w:firstLineChars="200"/>
        <w:rPr>
          <w:rFonts w:ascii="黑体" w:hAnsi="黑体" w:eastAsia="黑体" w:cs="楷体_GB2312"/>
          <w:bCs/>
          <w:spacing w:val="8"/>
          <w:sz w:val="32"/>
          <w:szCs w:val="32"/>
        </w:rPr>
      </w:pPr>
      <w:r>
        <w:rPr>
          <w:rFonts w:hint="eastAsia" w:ascii="黑体" w:hAnsi="黑体" w:eastAsia="黑体" w:cs="楷体_GB2312"/>
          <w:bCs/>
          <w:spacing w:val="8"/>
          <w:sz w:val="32"/>
          <w:szCs w:val="32"/>
        </w:rPr>
        <w:t>五、有关说明</w:t>
      </w:r>
      <w:r>
        <w:t> </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(一)本分类建立了与《国民经济行业分类》（GB/T 4754-2017）的对应关系。在本</w:t>
      </w:r>
      <w:r>
        <w:rPr>
          <w:rFonts w:ascii="仿宋_GB2312" w:hAnsi="宋体" w:eastAsia="仿宋_GB2312" w:cs="宋体"/>
          <w:spacing w:val="-4"/>
          <w:sz w:val="32"/>
          <w:szCs w:val="32"/>
        </w:rPr>
        <w:t>分类中，</w:t>
      </w:r>
      <w:r>
        <w:rPr>
          <w:rFonts w:hint="eastAsia" w:ascii="仿宋_GB2312" w:hAnsi="宋体" w:eastAsia="仿宋_GB2312" w:cs="宋体"/>
          <w:spacing w:val="-4"/>
          <w:sz w:val="32"/>
          <w:szCs w:val="32"/>
        </w:rPr>
        <w:t>如国民经济某行业小类仅部分活动属于文化及相关产业，则在行业代码后加“*”做标识，</w:t>
      </w:r>
      <w:r>
        <w:rPr>
          <w:rFonts w:ascii="仿宋_GB2312" w:hAnsi="宋体" w:eastAsia="仿宋_GB2312" w:cs="宋体"/>
          <w:spacing w:val="-4"/>
          <w:sz w:val="32"/>
          <w:szCs w:val="32"/>
        </w:rPr>
        <w:t>并对</w:t>
      </w:r>
      <w:r>
        <w:rPr>
          <w:rFonts w:hint="eastAsia" w:ascii="仿宋_GB2312" w:hAnsi="宋体" w:eastAsia="仿宋_GB2312" w:cs="宋体"/>
          <w:spacing w:val="-4"/>
          <w:sz w:val="32"/>
          <w:szCs w:val="32"/>
        </w:rPr>
        <w:t>属于</w:t>
      </w:r>
      <w:r>
        <w:rPr>
          <w:rFonts w:hint="eastAsia" w:ascii="仿宋_GB2312" w:hAnsi="宋体" w:eastAsia="仿宋_GB2312" w:cs="宋体"/>
          <w:bCs/>
          <w:sz w:val="32"/>
          <w:szCs w:val="32"/>
        </w:rPr>
        <w:t>文化生产活动的内容进行</w:t>
      </w:r>
      <w:r>
        <w:rPr>
          <w:rFonts w:ascii="仿宋_GB2312" w:hAnsi="宋体" w:eastAsia="仿宋_GB2312" w:cs="宋体"/>
          <w:bCs/>
          <w:sz w:val="32"/>
          <w:szCs w:val="32"/>
        </w:rPr>
        <w:t>说明</w:t>
      </w:r>
      <w:r>
        <w:rPr>
          <w:rFonts w:hint="eastAsia" w:ascii="仿宋_GB2312" w:hAnsi="宋体" w:eastAsia="仿宋_GB2312" w:cs="宋体"/>
          <w:spacing w:val="-4"/>
          <w:sz w:val="32"/>
          <w:szCs w:val="32"/>
        </w:rPr>
        <w:t>；如国民经济某</w:t>
      </w:r>
      <w:r>
        <w:rPr>
          <w:rFonts w:ascii="仿宋_GB2312" w:hAnsi="宋体" w:eastAsia="仿宋_GB2312" w:cs="宋体"/>
          <w:spacing w:val="-4"/>
          <w:sz w:val="32"/>
          <w:szCs w:val="32"/>
        </w:rPr>
        <w:t>行业</w:t>
      </w:r>
      <w:r>
        <w:rPr>
          <w:rFonts w:hint="eastAsia" w:ascii="仿宋_GB2312" w:hAnsi="宋体" w:eastAsia="仿宋_GB2312" w:cs="宋体"/>
          <w:spacing w:val="-4"/>
          <w:sz w:val="32"/>
          <w:szCs w:val="32"/>
        </w:rPr>
        <w:t>小</w:t>
      </w:r>
      <w:r>
        <w:rPr>
          <w:rFonts w:ascii="仿宋_GB2312" w:hAnsi="宋体" w:eastAsia="仿宋_GB2312" w:cs="宋体"/>
          <w:spacing w:val="-4"/>
          <w:sz w:val="32"/>
          <w:szCs w:val="32"/>
        </w:rPr>
        <w:t>类</w:t>
      </w:r>
      <w:r>
        <w:rPr>
          <w:rFonts w:hint="eastAsia" w:ascii="仿宋_GB2312" w:hAnsi="宋体" w:eastAsia="仿宋_GB2312" w:cs="宋体"/>
          <w:spacing w:val="-4"/>
          <w:sz w:val="32"/>
          <w:szCs w:val="32"/>
        </w:rPr>
        <w:t>全部</w:t>
      </w:r>
      <w:r>
        <w:rPr>
          <w:rFonts w:ascii="仿宋_GB2312" w:hAnsi="宋体" w:eastAsia="仿宋_GB2312" w:cs="宋体"/>
          <w:spacing w:val="-4"/>
          <w:sz w:val="32"/>
          <w:szCs w:val="32"/>
        </w:rPr>
        <w:t>纳入</w:t>
      </w:r>
      <w:r>
        <w:rPr>
          <w:rFonts w:hint="eastAsia" w:ascii="仿宋_GB2312" w:hAnsi="宋体" w:eastAsia="仿宋_GB2312" w:cs="宋体"/>
          <w:spacing w:val="-4"/>
          <w:sz w:val="32"/>
          <w:szCs w:val="32"/>
        </w:rPr>
        <w:t>文化及相关产业，则</w:t>
      </w:r>
      <w:r>
        <w:rPr>
          <w:rFonts w:ascii="仿宋_GB2312" w:hAnsi="宋体" w:eastAsia="仿宋_GB2312" w:cs="宋体"/>
          <w:spacing w:val="-4"/>
          <w:sz w:val="32"/>
          <w:szCs w:val="32"/>
        </w:rPr>
        <w:t>小类类别名称与</w:t>
      </w:r>
      <w:r>
        <w:rPr>
          <w:rFonts w:hint="eastAsia" w:ascii="仿宋_GB2312" w:hAnsi="宋体" w:eastAsia="仿宋_GB2312" w:cs="宋体"/>
          <w:spacing w:val="-4"/>
          <w:sz w:val="32"/>
          <w:szCs w:val="32"/>
        </w:rPr>
        <w:t>行业类别名称完全</w:t>
      </w:r>
      <w:r>
        <w:rPr>
          <w:rFonts w:ascii="仿宋_GB2312" w:hAnsi="宋体" w:eastAsia="仿宋_GB2312" w:cs="宋体"/>
          <w:spacing w:val="-4"/>
          <w:sz w:val="32"/>
          <w:szCs w:val="32"/>
        </w:rPr>
        <w:t>一致</w:t>
      </w:r>
      <w:r>
        <w:rPr>
          <w:rFonts w:hint="eastAsia" w:ascii="仿宋_GB2312" w:hAnsi="宋体" w:eastAsia="仿宋_GB2312" w:cs="宋体"/>
          <w:spacing w:val="-4"/>
          <w:sz w:val="32"/>
          <w:szCs w:val="32"/>
        </w:rPr>
        <w:t>。</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（二）本分类全部</w:t>
      </w:r>
      <w:r>
        <w:rPr>
          <w:rFonts w:ascii="仿宋_GB2312" w:hAnsi="宋体" w:eastAsia="仿宋_GB2312" w:cs="宋体"/>
          <w:spacing w:val="-4"/>
          <w:sz w:val="32"/>
          <w:szCs w:val="32"/>
        </w:rPr>
        <w:t>小类</w:t>
      </w:r>
      <w:r>
        <w:rPr>
          <w:rFonts w:hint="eastAsia" w:ascii="仿宋_GB2312" w:hAnsi="宋体" w:eastAsia="仿宋_GB2312" w:cs="宋体"/>
          <w:spacing w:val="-4"/>
          <w:sz w:val="32"/>
          <w:szCs w:val="32"/>
        </w:rPr>
        <w:t>对应或</w:t>
      </w:r>
      <w:r>
        <w:rPr>
          <w:rFonts w:ascii="仿宋_GB2312" w:hAnsi="宋体" w:eastAsia="仿宋_GB2312" w:cs="宋体"/>
          <w:spacing w:val="-4"/>
          <w:sz w:val="32"/>
          <w:szCs w:val="32"/>
        </w:rPr>
        <w:t>包含在</w:t>
      </w:r>
      <w:r>
        <w:rPr>
          <w:rFonts w:hint="eastAsia" w:ascii="仿宋_GB2312" w:hAnsi="宋体" w:eastAsia="仿宋_GB2312" w:cs="宋体"/>
          <w:spacing w:val="-4"/>
          <w:sz w:val="32"/>
          <w:szCs w:val="32"/>
        </w:rPr>
        <w:t>《国民经济行业分类》（GB/T 4754-2017）相应的</w:t>
      </w:r>
      <w:r>
        <w:rPr>
          <w:rFonts w:ascii="仿宋_GB2312" w:hAnsi="宋体" w:eastAsia="仿宋_GB2312" w:cs="宋体"/>
          <w:spacing w:val="-4"/>
          <w:sz w:val="32"/>
          <w:szCs w:val="32"/>
        </w:rPr>
        <w:t>行业小类</w:t>
      </w:r>
      <w:r>
        <w:rPr>
          <w:rFonts w:hint="eastAsia" w:ascii="仿宋_GB2312" w:hAnsi="宋体" w:eastAsia="仿宋_GB2312" w:cs="宋体"/>
          <w:spacing w:val="-4"/>
          <w:sz w:val="32"/>
          <w:szCs w:val="32"/>
        </w:rPr>
        <w:t>中</w:t>
      </w:r>
      <w:r>
        <w:rPr>
          <w:rFonts w:ascii="仿宋_GB2312" w:hAnsi="宋体" w:eastAsia="仿宋_GB2312" w:cs="宋体"/>
          <w:spacing w:val="-4"/>
          <w:sz w:val="32"/>
          <w:szCs w:val="32"/>
        </w:rPr>
        <w:t>，</w:t>
      </w:r>
      <w:r>
        <w:rPr>
          <w:rFonts w:hint="eastAsia" w:ascii="仿宋_GB2312" w:hAnsi="宋体" w:eastAsia="仿宋_GB2312" w:cs="宋体"/>
          <w:spacing w:val="-4"/>
          <w:sz w:val="32"/>
          <w:szCs w:val="32"/>
        </w:rPr>
        <w:t>具体范围和说明可参见《2017国民经济行业分类注释》。</w:t>
      </w:r>
    </w:p>
    <w:p>
      <w:pPr>
        <w:spacing w:line="600" w:lineRule="exact"/>
        <w:ind w:firstLine="624" w:firstLineChars="200"/>
        <w:rPr>
          <w:rFonts w:ascii="仿宋_GB2312" w:hAnsi="宋体" w:eastAsia="仿宋_GB2312" w:cs="宋体"/>
          <w:spacing w:val="-4"/>
          <w:sz w:val="32"/>
          <w:szCs w:val="32"/>
        </w:rPr>
      </w:pPr>
      <w:r>
        <w:rPr>
          <w:rFonts w:hint="eastAsia" w:ascii="仿宋_GB2312" w:hAnsi="宋体" w:eastAsia="仿宋_GB2312" w:cs="宋体"/>
          <w:spacing w:val="-4"/>
          <w:sz w:val="32"/>
          <w:szCs w:val="32"/>
        </w:rPr>
        <w:t>（三）本分类01-</w:t>
      </w:r>
      <w:r>
        <w:rPr>
          <w:rFonts w:ascii="仿宋_GB2312" w:hAnsi="宋体" w:eastAsia="仿宋_GB2312" w:cs="宋体"/>
          <w:spacing w:val="-4"/>
          <w:sz w:val="32"/>
          <w:szCs w:val="32"/>
        </w:rPr>
        <w:t>06</w:t>
      </w:r>
      <w:r>
        <w:rPr>
          <w:rFonts w:hint="eastAsia" w:ascii="仿宋_GB2312" w:hAnsi="宋体" w:eastAsia="仿宋_GB2312" w:cs="宋体"/>
          <w:spacing w:val="-4"/>
          <w:sz w:val="32"/>
          <w:szCs w:val="32"/>
        </w:rPr>
        <w:t>大类为文化核心领域，0</w:t>
      </w:r>
      <w:r>
        <w:rPr>
          <w:rFonts w:ascii="仿宋_GB2312" w:hAnsi="宋体" w:eastAsia="仿宋_GB2312" w:cs="宋体"/>
          <w:spacing w:val="-4"/>
          <w:sz w:val="32"/>
          <w:szCs w:val="32"/>
        </w:rPr>
        <w:t>7</w:t>
      </w:r>
      <w:r>
        <w:rPr>
          <w:rFonts w:hint="eastAsia" w:ascii="仿宋_GB2312" w:hAnsi="宋体" w:eastAsia="仿宋_GB2312" w:cs="宋体"/>
          <w:spacing w:val="-4"/>
          <w:sz w:val="32"/>
          <w:szCs w:val="32"/>
        </w:rPr>
        <w:t>-</w:t>
      </w:r>
      <w:r>
        <w:rPr>
          <w:rFonts w:ascii="仿宋_GB2312" w:hAnsi="宋体" w:eastAsia="仿宋_GB2312" w:cs="宋体"/>
          <w:spacing w:val="-4"/>
          <w:sz w:val="32"/>
          <w:szCs w:val="32"/>
        </w:rPr>
        <w:t>09</w:t>
      </w:r>
      <w:r>
        <w:rPr>
          <w:rFonts w:hint="eastAsia" w:ascii="仿宋_GB2312" w:hAnsi="宋体" w:eastAsia="仿宋_GB2312" w:cs="宋体"/>
          <w:spacing w:val="-4"/>
          <w:sz w:val="32"/>
          <w:szCs w:val="32"/>
        </w:rPr>
        <w:t>大类为文化相关领域。</w:t>
      </w:r>
    </w:p>
    <w:p>
      <w:pPr>
        <w:spacing w:line="600" w:lineRule="exact"/>
        <w:ind w:firstLine="672" w:firstLineChars="200"/>
        <w:rPr>
          <w:rFonts w:ascii="黑体" w:hAnsi="黑体" w:eastAsia="黑体" w:cs="楷体_GB2312"/>
          <w:bCs/>
          <w:spacing w:val="8"/>
          <w:sz w:val="32"/>
          <w:szCs w:val="32"/>
        </w:rPr>
      </w:pPr>
      <w:r>
        <w:rPr>
          <w:rFonts w:hint="eastAsia" w:ascii="黑体" w:hAnsi="黑体" w:eastAsia="黑体" w:cs="楷体_GB2312"/>
          <w:bCs/>
          <w:spacing w:val="8"/>
          <w:sz w:val="32"/>
          <w:szCs w:val="32"/>
        </w:rPr>
        <w:t>六、文化及相关产业分类表</w:t>
      </w:r>
    </w:p>
    <w:p>
      <w:pPr>
        <w:adjustRightInd w:val="0"/>
        <w:snapToGrid w:val="0"/>
        <w:spacing w:line="600" w:lineRule="exact"/>
        <w:ind w:firstLine="624" w:firstLineChars="200"/>
        <w:rPr>
          <w:rFonts w:ascii="仿宋_GB2312" w:hAnsi="仿宋" w:eastAsia="仿宋_GB2312"/>
          <w:spacing w:val="-4"/>
          <w:kern w:val="0"/>
          <w:sz w:val="32"/>
          <w:szCs w:val="32"/>
        </w:rPr>
        <w:sectPr>
          <w:footerReference r:id="rId3" w:type="default"/>
          <w:footerReference r:id="rId4" w:type="even"/>
          <w:pgSz w:w="11906" w:h="16838"/>
          <w:pgMar w:top="1871" w:right="1588" w:bottom="1418" w:left="1588" w:header="851" w:footer="1191" w:gutter="0"/>
          <w:pgNumType w:start="1"/>
          <w:cols w:space="720" w:num="1"/>
          <w:docGrid w:type="lines" w:linePitch="312" w:charSpace="0"/>
        </w:sectPr>
      </w:pPr>
    </w:p>
    <w:p>
      <w:pPr>
        <w:spacing w:line="600" w:lineRule="exact"/>
        <w:rPr>
          <w:rFonts w:ascii="楷体_GB2312" w:hAnsi="黑体" w:eastAsia="楷体_GB2312" w:cs="楷体_GB2312"/>
          <w:b/>
          <w:bCs/>
          <w:spacing w:val="8"/>
          <w:sz w:val="28"/>
          <w:szCs w:val="28"/>
        </w:rPr>
      </w:pPr>
      <w:r>
        <w:rPr>
          <w:rFonts w:hint="eastAsia" w:ascii="楷体_GB2312" w:hAnsi="黑体" w:eastAsia="楷体_GB2312" w:cs="楷体_GB2312"/>
          <w:b/>
          <w:bCs/>
          <w:spacing w:val="8"/>
          <w:sz w:val="28"/>
          <w:szCs w:val="28"/>
        </w:rPr>
        <w:t>表1</w:t>
      </w:r>
    </w:p>
    <w:p>
      <w:pPr>
        <w:spacing w:line="600" w:lineRule="exact"/>
        <w:jc w:val="center"/>
        <w:rPr>
          <w:rFonts w:ascii="黑体" w:hAnsi="黑体" w:eastAsia="黑体" w:cs="宋体"/>
          <w:bCs/>
          <w:color w:val="000000"/>
          <w:sz w:val="40"/>
          <w:szCs w:val="40"/>
        </w:rPr>
      </w:pPr>
      <w:r>
        <w:rPr>
          <w:rFonts w:hint="eastAsia" w:ascii="黑体" w:hAnsi="黑体" w:eastAsia="黑体" w:cs="宋体"/>
          <w:bCs/>
          <w:color w:val="000000"/>
          <w:sz w:val="40"/>
          <w:szCs w:val="40"/>
        </w:rPr>
        <w:t>文化及相关产业分类表</w:t>
      </w:r>
    </w:p>
    <w:tbl>
      <w:tblPr>
        <w:tblStyle w:val="7"/>
        <w:tblW w:w="0" w:type="auto"/>
        <w:tblInd w:w="0" w:type="dxa"/>
        <w:tblLayout w:type="fixed"/>
        <w:tblCellMar>
          <w:top w:w="0" w:type="dxa"/>
          <w:left w:w="108" w:type="dxa"/>
          <w:bottom w:w="0" w:type="dxa"/>
          <w:right w:w="108" w:type="dxa"/>
        </w:tblCellMar>
      </w:tblPr>
      <w:tblGrid>
        <w:gridCol w:w="575"/>
        <w:gridCol w:w="578"/>
        <w:gridCol w:w="720"/>
        <w:gridCol w:w="3846"/>
        <w:gridCol w:w="6844"/>
        <w:gridCol w:w="1393"/>
      </w:tblGrid>
      <w:tr>
        <w:tblPrEx>
          <w:tblCellMar>
            <w:top w:w="0" w:type="dxa"/>
            <w:left w:w="108" w:type="dxa"/>
            <w:bottom w:w="0" w:type="dxa"/>
            <w:right w:w="108" w:type="dxa"/>
          </w:tblCellMar>
        </w:tblPrEx>
        <w:trPr>
          <w:trHeight w:val="775" w:hRule="atLeast"/>
          <w:tblHeader/>
        </w:trPr>
        <w:tc>
          <w:tcPr>
            <w:tcW w:w="1873" w:type="dxa"/>
            <w:gridSpan w:val="3"/>
            <w:tcBorders>
              <w:top w:val="single" w:color="auto" w:sz="12" w:space="0"/>
              <w:left w:val="nil"/>
              <w:bottom w:val="single" w:color="auto" w:sz="4" w:space="0"/>
              <w:right w:val="single" w:color="auto" w:sz="4" w:space="0"/>
            </w:tcBorders>
            <w:vAlign w:val="center"/>
          </w:tcPr>
          <w:p>
            <w:pPr>
              <w:widowControl/>
              <w:jc w:val="center"/>
              <w:rPr>
                <w:rFonts w:ascii="黑体" w:hAnsi="黑体" w:eastAsia="黑体" w:cs="宋体"/>
                <w:sz w:val="24"/>
              </w:rPr>
            </w:pPr>
            <w:r>
              <w:rPr>
                <w:rFonts w:hint="eastAsia" w:ascii="黑体" w:hAnsi="黑体" w:eastAsia="黑体" w:cs="宋体"/>
                <w:sz w:val="24"/>
              </w:rPr>
              <w:t>代　 码</w:t>
            </w:r>
          </w:p>
        </w:tc>
        <w:tc>
          <w:tcPr>
            <w:tcW w:w="3846" w:type="dxa"/>
            <w:vMerge w:val="restart"/>
            <w:tcBorders>
              <w:top w:val="single" w:color="auto" w:sz="12" w:space="0"/>
              <w:left w:val="single" w:color="auto" w:sz="4" w:space="0"/>
              <w:bottom w:val="single" w:color="auto" w:sz="4" w:space="0"/>
              <w:right w:val="single" w:color="auto" w:sz="4" w:space="0"/>
            </w:tcBorders>
            <w:vAlign w:val="center"/>
          </w:tcPr>
          <w:p>
            <w:pPr>
              <w:widowControl/>
              <w:jc w:val="center"/>
              <w:rPr>
                <w:rFonts w:ascii="黑体" w:hAnsi="黑体" w:eastAsia="黑体" w:cs="宋体"/>
                <w:sz w:val="24"/>
              </w:rPr>
            </w:pPr>
            <w:r>
              <w:rPr>
                <w:rFonts w:hint="eastAsia" w:ascii="黑体" w:hAnsi="黑体" w:eastAsia="黑体" w:cs="宋体"/>
                <w:sz w:val="24"/>
              </w:rPr>
              <w:t>类别名称</w:t>
            </w:r>
          </w:p>
        </w:tc>
        <w:tc>
          <w:tcPr>
            <w:tcW w:w="6844" w:type="dxa"/>
            <w:vMerge w:val="restart"/>
            <w:tcBorders>
              <w:top w:val="single" w:color="auto" w:sz="12" w:space="0"/>
              <w:left w:val="single" w:color="auto" w:sz="4" w:space="0"/>
              <w:bottom w:val="single" w:color="auto" w:sz="4" w:space="0"/>
              <w:right w:val="single" w:color="auto" w:sz="4" w:space="0"/>
            </w:tcBorders>
            <w:vAlign w:val="center"/>
          </w:tcPr>
          <w:p>
            <w:pPr>
              <w:widowControl/>
              <w:jc w:val="center"/>
              <w:rPr>
                <w:rFonts w:ascii="黑体" w:hAnsi="黑体" w:eastAsia="黑体" w:cs="宋体"/>
                <w:sz w:val="24"/>
              </w:rPr>
            </w:pPr>
            <w:r>
              <w:rPr>
                <w:rFonts w:hint="eastAsia" w:ascii="黑体" w:hAnsi="黑体" w:eastAsia="黑体" w:cs="宋体"/>
                <w:sz w:val="24"/>
              </w:rPr>
              <w:t>说　 明</w:t>
            </w:r>
          </w:p>
        </w:tc>
        <w:tc>
          <w:tcPr>
            <w:tcW w:w="1393" w:type="dxa"/>
            <w:vMerge w:val="restart"/>
            <w:tcBorders>
              <w:top w:val="single" w:color="auto" w:sz="12" w:space="0"/>
              <w:left w:val="single" w:color="auto" w:sz="4" w:space="0"/>
              <w:bottom w:val="single" w:color="000000" w:sz="4" w:space="0"/>
              <w:right w:val="nil"/>
            </w:tcBorders>
            <w:vAlign w:val="center"/>
          </w:tcPr>
          <w:p>
            <w:pPr>
              <w:widowControl/>
              <w:jc w:val="center"/>
              <w:rPr>
                <w:rFonts w:ascii="黑体" w:hAnsi="黑体" w:eastAsia="黑体" w:cs="宋体"/>
                <w:sz w:val="24"/>
              </w:rPr>
            </w:pPr>
            <w:r>
              <w:rPr>
                <w:rFonts w:hint="eastAsia" w:ascii="黑体" w:hAnsi="黑体" w:eastAsia="黑体" w:cs="宋体"/>
                <w:sz w:val="24"/>
              </w:rPr>
              <w:t>行业分类</w:t>
            </w:r>
          </w:p>
          <w:p>
            <w:pPr>
              <w:widowControl/>
              <w:jc w:val="center"/>
              <w:rPr>
                <w:rFonts w:ascii="黑体" w:hAnsi="黑体" w:eastAsia="黑体" w:cs="宋体"/>
                <w:sz w:val="24"/>
              </w:rPr>
            </w:pPr>
            <w:r>
              <w:rPr>
                <w:rFonts w:hint="eastAsia" w:ascii="黑体" w:hAnsi="黑体" w:eastAsia="黑体" w:cs="宋体"/>
                <w:sz w:val="24"/>
              </w:rPr>
              <w:t>代码</w:t>
            </w:r>
          </w:p>
        </w:tc>
      </w:tr>
      <w:tr>
        <w:tblPrEx>
          <w:tblCellMar>
            <w:top w:w="0" w:type="dxa"/>
            <w:left w:w="108" w:type="dxa"/>
            <w:bottom w:w="0" w:type="dxa"/>
            <w:right w:w="108" w:type="dxa"/>
          </w:tblCellMar>
        </w:tblPrEx>
        <w:trPr>
          <w:trHeight w:val="778" w:hRule="atLeast"/>
          <w:tblHeader/>
        </w:trPr>
        <w:tc>
          <w:tcPr>
            <w:tcW w:w="575" w:type="dxa"/>
            <w:tcBorders>
              <w:top w:val="nil"/>
              <w:left w:val="nil"/>
              <w:bottom w:val="single" w:color="auto" w:sz="4" w:space="0"/>
              <w:right w:val="nil"/>
            </w:tcBorders>
            <w:vAlign w:val="center"/>
          </w:tcPr>
          <w:p>
            <w:pPr>
              <w:widowControl/>
              <w:jc w:val="center"/>
              <w:rPr>
                <w:rFonts w:ascii="黑体" w:hAnsi="黑体" w:eastAsia="黑体" w:cs="宋体"/>
                <w:sz w:val="24"/>
              </w:rPr>
            </w:pPr>
            <w:r>
              <w:rPr>
                <w:rFonts w:hint="eastAsia" w:ascii="黑体" w:hAnsi="黑体" w:eastAsia="黑体" w:cs="宋体"/>
                <w:sz w:val="24"/>
              </w:rPr>
              <w:t>大类</w:t>
            </w:r>
          </w:p>
        </w:tc>
        <w:tc>
          <w:tcPr>
            <w:tcW w:w="578" w:type="dxa"/>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sz w:val="24"/>
              </w:rPr>
            </w:pPr>
            <w:r>
              <w:rPr>
                <w:rFonts w:hint="eastAsia" w:ascii="黑体" w:hAnsi="黑体" w:eastAsia="黑体" w:cs="宋体"/>
                <w:sz w:val="24"/>
              </w:rPr>
              <w:t>中类</w:t>
            </w:r>
          </w:p>
        </w:tc>
        <w:tc>
          <w:tcPr>
            <w:tcW w:w="720" w:type="dxa"/>
            <w:tcBorders>
              <w:top w:val="nil"/>
              <w:left w:val="nil"/>
              <w:bottom w:val="single" w:color="auto" w:sz="4" w:space="0"/>
              <w:right w:val="single" w:color="auto" w:sz="4" w:space="0"/>
            </w:tcBorders>
            <w:vAlign w:val="center"/>
          </w:tcPr>
          <w:p>
            <w:pPr>
              <w:widowControl/>
              <w:jc w:val="center"/>
              <w:rPr>
                <w:rFonts w:ascii="黑体" w:hAnsi="黑体" w:eastAsia="黑体" w:cs="宋体"/>
                <w:sz w:val="24"/>
              </w:rPr>
            </w:pPr>
            <w:r>
              <w:rPr>
                <w:rFonts w:hint="eastAsia" w:ascii="黑体" w:hAnsi="黑体" w:eastAsia="黑体" w:cs="宋体"/>
                <w:sz w:val="24"/>
              </w:rPr>
              <w:t>小</w:t>
            </w:r>
          </w:p>
          <w:p>
            <w:pPr>
              <w:widowControl/>
              <w:jc w:val="center"/>
              <w:rPr>
                <w:rFonts w:ascii="黑体" w:hAnsi="黑体" w:eastAsia="黑体" w:cs="宋体"/>
                <w:sz w:val="24"/>
              </w:rPr>
            </w:pPr>
            <w:r>
              <w:rPr>
                <w:rFonts w:hint="eastAsia" w:ascii="黑体" w:hAnsi="黑体" w:eastAsia="黑体" w:cs="宋体"/>
                <w:sz w:val="24"/>
              </w:rPr>
              <w:t>类</w:t>
            </w:r>
          </w:p>
        </w:tc>
        <w:tc>
          <w:tcPr>
            <w:tcW w:w="3846"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黑体" w:hAnsi="黑体" w:eastAsia="黑体" w:cs="宋体"/>
                <w:sz w:val="24"/>
              </w:rPr>
            </w:pPr>
          </w:p>
        </w:tc>
        <w:tc>
          <w:tcPr>
            <w:tcW w:w="684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sz w:val="24"/>
              </w:rPr>
            </w:pPr>
          </w:p>
        </w:tc>
        <w:tc>
          <w:tcPr>
            <w:tcW w:w="1393" w:type="dxa"/>
            <w:vMerge w:val="continue"/>
            <w:tcBorders>
              <w:top w:val="single" w:color="auto" w:sz="8" w:space="0"/>
              <w:left w:val="single" w:color="auto" w:sz="4" w:space="0"/>
              <w:bottom w:val="single" w:color="000000" w:sz="4" w:space="0"/>
              <w:right w:val="nil"/>
            </w:tcBorders>
            <w:vAlign w:val="center"/>
          </w:tcPr>
          <w:p>
            <w:pPr>
              <w:widowControl/>
              <w:jc w:val="left"/>
              <w:rPr>
                <w:rFonts w:ascii="黑体" w:hAnsi="黑体" w:eastAsia="黑体" w:cs="宋体"/>
                <w:sz w:val="24"/>
              </w:rPr>
            </w:pP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vAlign w:val="center"/>
          </w:tcPr>
          <w:p>
            <w:pPr>
              <w:widowControl/>
              <w:jc w:val="center"/>
              <w:rPr>
                <w:rFonts w:ascii="黑体" w:hAnsi="黑体" w:eastAsia="黑体" w:cs="宋体"/>
                <w:sz w:val="24"/>
              </w:rPr>
            </w:pPr>
          </w:p>
        </w:tc>
        <w:tc>
          <w:tcPr>
            <w:tcW w:w="578" w:type="dxa"/>
            <w:tcBorders>
              <w:top w:val="nil"/>
              <w:left w:val="single" w:color="auto" w:sz="4" w:space="0"/>
              <w:bottom w:val="nil"/>
              <w:right w:val="single" w:color="auto" w:sz="4" w:space="0"/>
            </w:tcBorders>
            <w:vAlign w:val="center"/>
          </w:tcPr>
          <w:p>
            <w:pPr>
              <w:widowControl/>
              <w:jc w:val="center"/>
              <w:rPr>
                <w:rFonts w:ascii="黑体" w:hAnsi="黑体" w:eastAsia="黑体" w:cs="宋体"/>
                <w:sz w:val="24"/>
              </w:rPr>
            </w:pPr>
            <w:r>
              <w:rPr>
                <w:rFonts w:hint="eastAsia" w:ascii="黑体" w:hAnsi="黑体" w:eastAsia="黑体" w:cs="宋体"/>
                <w:sz w:val="24"/>
              </w:rPr>
              <w:t>　</w:t>
            </w:r>
          </w:p>
        </w:tc>
        <w:tc>
          <w:tcPr>
            <w:tcW w:w="720" w:type="dxa"/>
            <w:tcBorders>
              <w:top w:val="nil"/>
              <w:left w:val="nil"/>
              <w:bottom w:val="nil"/>
              <w:right w:val="nil"/>
            </w:tcBorders>
            <w:vAlign w:val="center"/>
          </w:tcPr>
          <w:p>
            <w:pPr>
              <w:widowControl/>
              <w:jc w:val="center"/>
              <w:rPr>
                <w:rFonts w:ascii="黑体" w:hAnsi="黑体" w:eastAsia="黑体" w:cs="宋体"/>
                <w:sz w:val="24"/>
              </w:rPr>
            </w:pPr>
          </w:p>
        </w:tc>
        <w:tc>
          <w:tcPr>
            <w:tcW w:w="3846" w:type="dxa"/>
            <w:tcBorders>
              <w:top w:val="nil"/>
              <w:left w:val="single" w:color="auto" w:sz="4" w:space="0"/>
              <w:bottom w:val="nil"/>
              <w:right w:val="single" w:color="auto" w:sz="4" w:space="0"/>
            </w:tcBorders>
            <w:vAlign w:val="center"/>
          </w:tcPr>
          <w:p>
            <w:pPr>
              <w:widowControl/>
              <w:jc w:val="left"/>
              <w:rPr>
                <w:rFonts w:ascii="黑体" w:hAnsi="黑体" w:eastAsia="黑体" w:cs="宋体"/>
                <w:b/>
                <w:bCs/>
                <w:sz w:val="20"/>
                <w:szCs w:val="20"/>
              </w:rPr>
            </w:pPr>
            <w:r>
              <w:rPr>
                <w:rFonts w:hint="eastAsia" w:ascii="黑体" w:hAnsi="黑体" w:eastAsia="黑体" w:cs="宋体"/>
                <w:b/>
                <w:bCs/>
                <w:sz w:val="20"/>
                <w:szCs w:val="20"/>
              </w:rPr>
              <w:t>文化核心领域</w:t>
            </w:r>
          </w:p>
        </w:tc>
        <w:tc>
          <w:tcPr>
            <w:tcW w:w="6844" w:type="dxa"/>
            <w:tcBorders>
              <w:top w:val="nil"/>
              <w:left w:val="nil"/>
              <w:bottom w:val="nil"/>
              <w:right w:val="nil"/>
            </w:tcBorders>
            <w:vAlign w:val="center"/>
          </w:tcPr>
          <w:p>
            <w:pPr>
              <w:widowControl/>
              <w:jc w:val="left"/>
              <w:rPr>
                <w:rFonts w:ascii="仿宋_GB2312" w:hAnsi="宋体" w:eastAsia="仿宋_GB2312" w:cs="宋体"/>
                <w:sz w:val="20"/>
                <w:szCs w:val="20"/>
              </w:rPr>
            </w:pPr>
            <w:r>
              <w:rPr>
                <w:rFonts w:hint="eastAsia" w:ascii="仿宋_GB2312" w:hAnsi="宋体" w:eastAsia="仿宋_GB2312" w:cs="宋体"/>
                <w:sz w:val="20"/>
                <w:szCs w:val="20"/>
              </w:rPr>
              <w:t>本领域包括01-06大类。</w:t>
            </w:r>
          </w:p>
        </w:tc>
        <w:tc>
          <w:tcPr>
            <w:tcW w:w="1393" w:type="dxa"/>
            <w:tcBorders>
              <w:top w:val="nil"/>
              <w:left w:val="single" w:color="auto" w:sz="4" w:space="0"/>
              <w:bottom w:val="nil"/>
              <w:right w:val="nil"/>
            </w:tcBorders>
            <w:vAlign w:val="center"/>
          </w:tcPr>
          <w:p>
            <w:pPr>
              <w:widowControl/>
              <w:jc w:val="center"/>
              <w:rPr>
                <w:rFonts w:ascii="黑体" w:hAnsi="黑体" w:eastAsia="黑体" w:cs="宋体"/>
                <w:sz w:val="24"/>
              </w:rPr>
            </w:pPr>
            <w:r>
              <w:rPr>
                <w:rFonts w:hint="eastAsia" w:ascii="黑体" w:hAnsi="黑体" w:eastAsia="黑体" w:cs="宋体"/>
                <w:sz w:val="24"/>
              </w:rPr>
              <w:t>　</w:t>
            </w: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w:t>
            </w: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新闻信息服务</w:t>
            </w:r>
          </w:p>
        </w:tc>
        <w:tc>
          <w:tcPr>
            <w:tcW w:w="6844" w:type="dxa"/>
            <w:tcBorders>
              <w:top w:val="nil"/>
              <w:left w:val="nil"/>
              <w:bottom w:val="nil"/>
              <w:right w:val="nil"/>
            </w:tcBorders>
            <w:noWrap/>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noWrap/>
            <w:vAlign w:val="center"/>
          </w:tcPr>
          <w:p>
            <w:pPr>
              <w:widowControl/>
              <w:jc w:val="left"/>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011</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新闻服务</w:t>
            </w:r>
          </w:p>
        </w:tc>
        <w:tc>
          <w:tcPr>
            <w:tcW w:w="6844" w:type="dxa"/>
            <w:tcBorders>
              <w:top w:val="nil"/>
              <w:left w:val="nil"/>
              <w:bottom w:val="nil"/>
              <w:right w:val="nil"/>
            </w:tcBorders>
            <w:noWrap/>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left"/>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011</w:t>
            </w:r>
            <w:r>
              <w:rPr>
                <w:rFonts w:ascii="仿宋" w:hAnsi="仿宋" w:eastAsia="仿宋" w:cs="宋体"/>
                <w:sz w:val="20"/>
                <w:szCs w:val="20"/>
              </w:rPr>
              <w:t>0</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新闻业</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包括新闻采访、编辑、发布和其他新闻服务。</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8610</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012</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报纸信息服务</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012</w:t>
            </w:r>
            <w:r>
              <w:rPr>
                <w:rFonts w:ascii="仿宋" w:hAnsi="仿宋" w:eastAsia="仿宋" w:cs="宋体"/>
                <w:sz w:val="20"/>
                <w:szCs w:val="20"/>
              </w:rPr>
              <w:t>0</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报纸出版</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包括党报出版、综合新闻类报纸出版和其他报纸出版服务。</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8622</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广播电视信息服务</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0131</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指广播节目的现场制作、播放及其他相关活动，还包括互联网广播。</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8710</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0132</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电视</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指有线和无线电视节目的现场制作、播放及其他相关活动，还包括互联网电视。</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8720</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8"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8"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8"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0133</w:t>
            </w:r>
          </w:p>
        </w:tc>
        <w:tc>
          <w:tcPr>
            <w:tcW w:w="3846" w:type="dxa"/>
            <w:tcBorders>
              <w:top w:val="nil"/>
              <w:left w:val="single" w:color="auto" w:sz="4" w:space="0"/>
              <w:bottom w:val="single" w:color="auto" w:sz="8"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广播电视集成播控</w:t>
            </w:r>
          </w:p>
        </w:tc>
        <w:tc>
          <w:tcPr>
            <w:tcW w:w="6844" w:type="dxa"/>
            <w:tcBorders>
              <w:top w:val="nil"/>
              <w:left w:val="nil"/>
              <w:bottom w:val="single" w:color="auto" w:sz="8"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指IP电视、手机电视、互联网电视等专网及定向传播视听节目服务的集成播控，还包括普通广播电视节目集成播控。</w:t>
            </w:r>
          </w:p>
        </w:tc>
        <w:tc>
          <w:tcPr>
            <w:tcW w:w="1393" w:type="dxa"/>
            <w:tcBorders>
              <w:top w:val="nil"/>
              <w:left w:val="single" w:color="auto" w:sz="4" w:space="0"/>
              <w:bottom w:val="single" w:color="auto" w:sz="8"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8740</w:t>
            </w:r>
          </w:p>
        </w:tc>
      </w:tr>
      <w:tr>
        <w:tblPrEx>
          <w:tblCellMar>
            <w:top w:w="0" w:type="dxa"/>
            <w:left w:w="108" w:type="dxa"/>
            <w:bottom w:w="0" w:type="dxa"/>
            <w:right w:w="108" w:type="dxa"/>
          </w:tblCellMar>
        </w:tblPrEx>
        <w:trPr>
          <w:trHeight w:val="499" w:hRule="atLeast"/>
        </w:trPr>
        <w:tc>
          <w:tcPr>
            <w:tcW w:w="575" w:type="dxa"/>
            <w:tcBorders>
              <w:top w:val="single" w:color="auto" w:sz="8" w:space="0"/>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8" w:space="0"/>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014</w:t>
            </w:r>
          </w:p>
        </w:tc>
        <w:tc>
          <w:tcPr>
            <w:tcW w:w="720" w:type="dxa"/>
            <w:tcBorders>
              <w:top w:val="single" w:color="auto" w:sz="8" w:space="0"/>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single" w:color="auto" w:sz="8" w:space="0"/>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互联网信息服务</w:t>
            </w:r>
          </w:p>
        </w:tc>
        <w:tc>
          <w:tcPr>
            <w:tcW w:w="6844" w:type="dxa"/>
            <w:tcBorders>
              <w:top w:val="single" w:color="auto" w:sz="8" w:space="0"/>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single" w:color="auto" w:sz="8" w:space="0"/>
              <w:left w:val="single" w:color="auto" w:sz="4" w:space="0"/>
              <w:bottom w:val="nil"/>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left"/>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0141</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互联网搜索服务</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指互联网中的特殊站点，专门用来帮助人们查找存储在其他站点上的信息。</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6421</w:t>
            </w:r>
          </w:p>
        </w:tc>
      </w:tr>
      <w:tr>
        <w:tblPrEx>
          <w:tblCellMar>
            <w:top w:w="0" w:type="dxa"/>
            <w:left w:w="108" w:type="dxa"/>
            <w:bottom w:w="0" w:type="dxa"/>
            <w:right w:w="108" w:type="dxa"/>
          </w:tblCellMar>
        </w:tblPrEx>
        <w:trPr>
          <w:trHeight w:val="810"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0142</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互联网其他信息服务</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包括网上新闻、网上软件下载、网上音乐、网上视频、网上图片、网上动漫、网上文学、网上电子邮件、网上新媒体、网上信息发布、网站导航和其他互联网信息服务。</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6429</w:t>
            </w: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w:t>
            </w: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内容创作生产</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noWrap/>
            <w:vAlign w:val="center"/>
          </w:tcPr>
          <w:p>
            <w:pPr>
              <w:widowControl/>
              <w:jc w:val="left"/>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出版服务</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left"/>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0211</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图书出版</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包括书籍出版、课本类书籍出版和其他图书出版服务。</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0212</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期刊出版</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包括综合类杂志出版，经济、哲学、社会科学类杂志出版，自然科学、技术类杂志出版，文化、教育类杂志出版，少儿读物类杂志出版和其他杂志出版服务。</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8623</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0213</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音像制品出版</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包括录音制品出版和录像制品出版服务。</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8624</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0214</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电子出版物出版</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包括马列毛泽东思想、哲学等分类别电子出版物，综合类电子出版物和其他电子出版物出版服务。</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8625</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0215</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数字出版</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指利用数字技术进行内容编辑加工，并通过网络传播数字内容产品的出版服务。</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8626</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0216</w:t>
            </w:r>
          </w:p>
        </w:tc>
        <w:tc>
          <w:tcPr>
            <w:tcW w:w="384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其他出版业</w:t>
            </w:r>
          </w:p>
        </w:tc>
        <w:tc>
          <w:tcPr>
            <w:tcW w:w="6844" w:type="dxa"/>
            <w:tcBorders>
              <w:top w:val="nil"/>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指其他出版服务。</w:t>
            </w:r>
          </w:p>
        </w:tc>
        <w:tc>
          <w:tcPr>
            <w:tcW w:w="1393" w:type="dxa"/>
            <w:tcBorders>
              <w:top w:val="nil"/>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8629</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022</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广播影视节目制作</w:t>
            </w:r>
          </w:p>
        </w:tc>
        <w:tc>
          <w:tcPr>
            <w:tcW w:w="6844" w:type="dxa"/>
            <w:tcBorders>
              <w:top w:val="single" w:color="auto" w:sz="4" w:space="0"/>
              <w:left w:val="nil"/>
              <w:right w:val="nil"/>
            </w:tcBorders>
            <w:vAlign w:val="center"/>
          </w:tcPr>
          <w:p>
            <w:pPr>
              <w:widowControl/>
              <w:jc w:val="left"/>
              <w:rPr>
                <w:rFonts w:ascii="仿宋" w:hAnsi="仿宋" w:eastAsia="仿宋" w:cs="宋体"/>
                <w:b/>
                <w:bCs/>
                <w:sz w:val="20"/>
                <w:szCs w:val="20"/>
              </w:rPr>
            </w:pPr>
          </w:p>
        </w:tc>
        <w:tc>
          <w:tcPr>
            <w:tcW w:w="1393" w:type="dxa"/>
            <w:tcBorders>
              <w:top w:val="single" w:color="auto" w:sz="4" w:space="0"/>
              <w:left w:val="single" w:color="auto" w:sz="4" w:space="0"/>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left"/>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0221</w:t>
            </w: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影视节目制作</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电影、电视和录像（含以磁带、光盘为载体）节目的制作活动，该节目可以作为电视、电影播出、放映，也可以作为出版、销售的原版录像带（或光盘），还可以在其他场合宣传播放，还包括影视节目的后期制作，但不包括电视台制作节目的活动。</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8730</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0222</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录音制作</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指从事录音节目、音乐作品的制作活动，其节目或作品可以在广播电台播放，也可以制作成出版、销售的原版录音带（磁带或光盘），还可以在其他宣传场合播放，但不包括广播电台制作节目的活动。</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8770</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创作表演服务</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left"/>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0231</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文艺创作与表演</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指文学、美术创造和表演艺术（如戏曲、歌舞、话剧、音乐、杂技、马戏、木偶等表演艺术）等活动。</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8810</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0232</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群众文体活动</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指对各种主要由城乡群众参与的文艺类演出、比赛、展览等公益性文化活动的管理活动。</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8870</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0233</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其他文化艺术业</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包括网络（手机）文化服务，史料、史志编辑服务，艺（美）术品、收藏品鉴定和评估服务，街头报刊橱窗管理服务和其他未列明文化艺术服务。</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8890</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数字内容服务</w:t>
            </w:r>
          </w:p>
        </w:tc>
        <w:tc>
          <w:tcPr>
            <w:tcW w:w="6844" w:type="dxa"/>
            <w:tcBorders>
              <w:top w:val="nil"/>
              <w:left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750" w:hRule="atLeast"/>
        </w:trPr>
        <w:tc>
          <w:tcPr>
            <w:tcW w:w="575" w:type="dxa"/>
            <w:tcBorders>
              <w:top w:val="nil"/>
              <w:left w:val="nil"/>
              <w:bottom w:val="single" w:color="auto" w:sz="4" w:space="0"/>
              <w:right w:val="nil"/>
            </w:tcBorders>
            <w:noWrap/>
            <w:vAlign w:val="center"/>
          </w:tcPr>
          <w:p>
            <w:pPr>
              <w:widowControl/>
              <w:jc w:val="left"/>
              <w:rPr>
                <w:rFonts w:ascii="仿宋" w:hAnsi="仿宋" w:eastAsia="仿宋" w:cs="宋体"/>
                <w:sz w:val="20"/>
                <w:szCs w:val="20"/>
              </w:rPr>
            </w:pPr>
          </w:p>
        </w:tc>
        <w:tc>
          <w:tcPr>
            <w:tcW w:w="57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0241</w:t>
            </w:r>
          </w:p>
        </w:tc>
        <w:tc>
          <w:tcPr>
            <w:tcW w:w="384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动漫、游戏数字内容服务</w:t>
            </w:r>
          </w:p>
        </w:tc>
        <w:tc>
          <w:tcPr>
            <w:tcW w:w="6844" w:type="dxa"/>
            <w:tcBorders>
              <w:top w:val="nil"/>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指将动漫和游戏中的图片、文字、视频、音频等信息内容运用数字化技术进行加工、处理、制作并整合应用的服务，使其通过互联网传播，在计算机、手机、电视等终端播放，在存储介质上保存。</w:t>
            </w:r>
          </w:p>
        </w:tc>
        <w:tc>
          <w:tcPr>
            <w:tcW w:w="1393" w:type="dxa"/>
            <w:tcBorders>
              <w:top w:val="nil"/>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6572</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0242</w:t>
            </w: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互联网游戏服务</w:t>
            </w:r>
          </w:p>
        </w:tc>
        <w:tc>
          <w:tcPr>
            <w:tcW w:w="6844" w:type="dxa"/>
            <w:tcBorders>
              <w:top w:val="single" w:color="auto" w:sz="4" w:space="0"/>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以互联网为传输媒介，以游戏运营商服务器和用户计算机为处理终端，以游戏客户端软件为信息交互窗口，旨在实现娱乐、休闲、交流和取得虚拟成就的具有可持续性的个体性多人在线游戏。包括互联网电子竞技服务。</w:t>
            </w:r>
          </w:p>
        </w:tc>
        <w:tc>
          <w:tcPr>
            <w:tcW w:w="1393" w:type="dxa"/>
            <w:tcBorders>
              <w:top w:val="single" w:color="auto" w:sz="4" w:space="0"/>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6422</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0243</w:t>
            </w: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spacing w:val="-8"/>
                <w:sz w:val="20"/>
                <w:szCs w:val="20"/>
              </w:rPr>
            </w:pPr>
            <w:r>
              <w:rPr>
                <w:rFonts w:hint="eastAsia" w:ascii="仿宋" w:hAnsi="仿宋" w:eastAsia="仿宋" w:cs="宋体"/>
                <w:sz w:val="20"/>
                <w:szCs w:val="20"/>
              </w:rPr>
              <w:t xml:space="preserve">    </w:t>
            </w:r>
            <w:r>
              <w:rPr>
                <w:rFonts w:hint="eastAsia" w:ascii="仿宋" w:hAnsi="仿宋" w:eastAsia="仿宋" w:cs="宋体"/>
                <w:spacing w:val="-8"/>
                <w:sz w:val="20"/>
                <w:szCs w:val="20"/>
              </w:rPr>
              <w:t xml:space="preserve">多媒体、游戏动漫和数字出版软件开发    </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仅指通用应用软件中的多媒体软件、游戏动漫软件、数字出版软件开发。该小类包含在应用软件开发行业小类中。</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6513*</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0244</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增值电信文化服务 </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仅指固定网增值电信、移动网增值电信、其他增值电信中的文化服务。该小类包含在其他电信服务行业小类中。</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6319*</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0245</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其他文化数字内容服务</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仅指文化宣传领域数字内容服务。该小类包含在其他数字内容服务行业小类中。</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6579*</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内容保存服务</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left"/>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0251</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图书馆</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包括公共图书馆、高等院校图书馆、专业图书馆和其他图书馆管理服务。</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8831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0252</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档案馆</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包括综合档案馆、专门档案馆、部门档案馆、企业档案馆、事业单位档案馆和其他档案馆管理服务。</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8832</w:t>
            </w:r>
          </w:p>
        </w:tc>
      </w:tr>
      <w:tr>
        <w:tblPrEx>
          <w:tblCellMar>
            <w:top w:w="0" w:type="dxa"/>
            <w:left w:w="108" w:type="dxa"/>
            <w:bottom w:w="0" w:type="dxa"/>
            <w:right w:w="108" w:type="dxa"/>
          </w:tblCellMar>
        </w:tblPrEx>
        <w:trPr>
          <w:trHeight w:val="1890" w:hRule="atLeast"/>
        </w:trPr>
        <w:tc>
          <w:tcPr>
            <w:tcW w:w="575"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0253</w:t>
            </w:r>
          </w:p>
        </w:tc>
        <w:tc>
          <w:tcPr>
            <w:tcW w:w="384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文物及非物质文化遗产保护 </w:t>
            </w:r>
          </w:p>
        </w:tc>
        <w:tc>
          <w:tcPr>
            <w:tcW w:w="6844" w:type="dxa"/>
            <w:tcBorders>
              <w:top w:val="nil"/>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对具有历史、文化、艺术、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c>
          <w:tcPr>
            <w:tcW w:w="1393" w:type="dxa"/>
            <w:tcBorders>
              <w:top w:val="nil"/>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8840</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0254</w:t>
            </w:r>
          </w:p>
        </w:tc>
        <w:tc>
          <w:tcPr>
            <w:tcW w:w="3846" w:type="dxa"/>
            <w:tcBorders>
              <w:top w:val="single" w:color="auto" w:sz="4" w:space="0"/>
              <w:left w:val="single" w:color="auto" w:sz="4" w:space="0"/>
              <w:right w:val="single" w:color="auto" w:sz="4" w:space="0"/>
            </w:tcBorders>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博物馆</w:t>
            </w:r>
          </w:p>
        </w:tc>
        <w:tc>
          <w:tcPr>
            <w:tcW w:w="6844" w:type="dxa"/>
            <w:tcBorders>
              <w:top w:val="single" w:color="auto" w:sz="4" w:space="0"/>
              <w:left w:val="nil"/>
              <w:right w:val="nil"/>
            </w:tcBorders>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指收藏、研究、展示文物和标本的博物馆的活动，以及展示人类文化、艺术、 科技、文明的美术馆、艺术馆、展览馆、科技馆、天文馆等管理活动。</w:t>
            </w:r>
          </w:p>
        </w:tc>
        <w:tc>
          <w:tcPr>
            <w:tcW w:w="1393" w:type="dxa"/>
            <w:tcBorders>
              <w:top w:val="single" w:color="auto" w:sz="4" w:space="0"/>
              <w:left w:val="single" w:color="auto" w:sz="4" w:space="0"/>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8850</w:t>
            </w:r>
          </w:p>
        </w:tc>
      </w:tr>
      <w:tr>
        <w:tblPrEx>
          <w:tblCellMar>
            <w:top w:w="0" w:type="dxa"/>
            <w:left w:w="108" w:type="dxa"/>
            <w:bottom w:w="0" w:type="dxa"/>
            <w:right w:w="108" w:type="dxa"/>
          </w:tblCellMar>
        </w:tblPrEx>
        <w:trPr>
          <w:trHeight w:val="510" w:hRule="exac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0255</w:t>
            </w:r>
          </w:p>
        </w:tc>
        <w:tc>
          <w:tcPr>
            <w:tcW w:w="3846" w:type="dxa"/>
            <w:tcBorders>
              <w:left w:val="single" w:color="auto" w:sz="4" w:space="0"/>
              <w:bottom w:val="nil"/>
              <w:right w:val="single" w:color="auto" w:sz="4" w:space="0"/>
            </w:tcBorders>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烈士陵园、纪念馆</w:t>
            </w:r>
          </w:p>
        </w:tc>
        <w:tc>
          <w:tcPr>
            <w:tcW w:w="6844" w:type="dxa"/>
            <w:tcBorders>
              <w:left w:val="nil"/>
              <w:bottom w:val="nil"/>
              <w:right w:val="nil"/>
            </w:tcBorders>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包括烈士陵园和烈士纪念馆管理服务。</w:t>
            </w:r>
          </w:p>
        </w:tc>
        <w:tc>
          <w:tcPr>
            <w:tcW w:w="1393" w:type="dxa"/>
            <w:tcBorders>
              <w:left w:val="single" w:color="auto" w:sz="4" w:space="0"/>
              <w:bottom w:val="nil"/>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8860</w:t>
            </w:r>
          </w:p>
        </w:tc>
      </w:tr>
      <w:tr>
        <w:tblPrEx>
          <w:tblCellMar>
            <w:top w:w="0" w:type="dxa"/>
            <w:left w:w="108" w:type="dxa"/>
            <w:bottom w:w="0" w:type="dxa"/>
            <w:right w:w="108" w:type="dxa"/>
          </w:tblCellMar>
        </w:tblPrEx>
        <w:trPr>
          <w:trHeight w:val="510" w:hRule="exac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w:t>
            </w:r>
          </w:p>
        </w:tc>
        <w:tc>
          <w:tcPr>
            <w:tcW w:w="720" w:type="dxa"/>
            <w:tcBorders>
              <w:top w:val="nil"/>
              <w:left w:val="nil"/>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xml:space="preserve"> </w:t>
            </w:r>
          </w:p>
        </w:tc>
        <w:tc>
          <w:tcPr>
            <w:tcW w:w="3846" w:type="dxa"/>
            <w:tcBorders>
              <w:top w:val="nil"/>
              <w:left w:val="single" w:color="auto" w:sz="4" w:space="0"/>
              <w:right w:val="single" w:color="auto" w:sz="4" w:space="0"/>
            </w:tcBorders>
            <w:noWrap/>
            <w:vAlign w:val="center"/>
          </w:tcPr>
          <w:p>
            <w:pPr>
              <w:widowControl/>
              <w:spacing w:line="320" w:lineRule="exact"/>
              <w:jc w:val="left"/>
              <w:rPr>
                <w:rFonts w:ascii="仿宋" w:hAnsi="仿宋" w:eastAsia="仿宋" w:cs="宋体"/>
                <w:b/>
                <w:bCs/>
                <w:sz w:val="20"/>
                <w:szCs w:val="20"/>
              </w:rPr>
            </w:pPr>
            <w:r>
              <w:rPr>
                <w:rFonts w:hint="eastAsia" w:ascii="仿宋" w:hAnsi="仿宋" w:eastAsia="仿宋" w:cs="宋体"/>
                <w:b/>
                <w:bCs/>
                <w:sz w:val="20"/>
                <w:szCs w:val="20"/>
              </w:rPr>
              <w:t xml:space="preserve">  工艺美术品制造</w:t>
            </w:r>
          </w:p>
        </w:tc>
        <w:tc>
          <w:tcPr>
            <w:tcW w:w="6844" w:type="dxa"/>
            <w:tcBorders>
              <w:top w:val="nil"/>
              <w:left w:val="nil"/>
              <w:right w:val="nil"/>
            </w:tcBorders>
            <w:vAlign w:val="center"/>
          </w:tcPr>
          <w:p>
            <w:pPr>
              <w:widowControl/>
              <w:spacing w:line="320" w:lineRule="exact"/>
              <w:jc w:val="left"/>
              <w:rPr>
                <w:rFonts w:ascii="仿宋" w:hAnsi="仿宋" w:eastAsia="仿宋" w:cs="宋体"/>
                <w:b/>
                <w:bCs/>
                <w:sz w:val="20"/>
                <w:szCs w:val="20"/>
              </w:rPr>
            </w:pPr>
          </w:p>
        </w:tc>
        <w:tc>
          <w:tcPr>
            <w:tcW w:w="1393" w:type="dxa"/>
            <w:tcBorders>
              <w:top w:val="nil"/>
              <w:left w:val="single" w:color="auto" w:sz="4" w:space="0"/>
              <w:right w:val="nil"/>
            </w:tcBorders>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397" w:hRule="atLeast"/>
        </w:trPr>
        <w:tc>
          <w:tcPr>
            <w:tcW w:w="575" w:type="dxa"/>
            <w:tcBorders>
              <w:top w:val="nil"/>
              <w:left w:val="nil"/>
              <w:right w:val="nil"/>
            </w:tcBorders>
            <w:noWrap/>
            <w:vAlign w:val="center"/>
          </w:tcPr>
          <w:p>
            <w:pPr>
              <w:widowControl/>
              <w:jc w:val="left"/>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0261</w:t>
            </w:r>
          </w:p>
        </w:tc>
        <w:tc>
          <w:tcPr>
            <w:tcW w:w="3846" w:type="dxa"/>
            <w:tcBorders>
              <w:top w:val="nil"/>
              <w:left w:val="single" w:color="auto" w:sz="4" w:space="0"/>
              <w:right w:val="single" w:color="auto" w:sz="4" w:space="0"/>
            </w:tcBorders>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雕塑工艺品制造</w:t>
            </w:r>
          </w:p>
        </w:tc>
        <w:tc>
          <w:tcPr>
            <w:tcW w:w="6844" w:type="dxa"/>
            <w:tcBorders>
              <w:top w:val="nil"/>
              <w:left w:val="nil"/>
              <w:right w:val="nil"/>
            </w:tcBorders>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以玉石、宝石、象牙、角、骨、贝壳等硬质材料，木、竹、椰壳、树根、软木等天然植物，以及石膏、泥、面、塑料等为原料，经雕刻、琢、磨、捏或塑等艺术加工而制成的各种供欣赏和实用的工艺品的制作活动。</w:t>
            </w:r>
          </w:p>
        </w:tc>
        <w:tc>
          <w:tcPr>
            <w:tcW w:w="1393" w:type="dxa"/>
            <w:tcBorders>
              <w:top w:val="nil"/>
              <w:left w:val="single" w:color="auto" w:sz="4" w:space="0"/>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2431</w:t>
            </w:r>
          </w:p>
        </w:tc>
      </w:tr>
      <w:tr>
        <w:tblPrEx>
          <w:tblCellMar>
            <w:top w:w="0" w:type="dxa"/>
            <w:left w:w="108" w:type="dxa"/>
            <w:bottom w:w="0" w:type="dxa"/>
            <w:right w:w="108" w:type="dxa"/>
          </w:tblCellMar>
        </w:tblPrEx>
        <w:trPr>
          <w:trHeight w:val="397"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0262</w:t>
            </w:r>
          </w:p>
        </w:tc>
        <w:tc>
          <w:tcPr>
            <w:tcW w:w="3846" w:type="dxa"/>
            <w:tcBorders>
              <w:left w:val="single" w:color="auto" w:sz="4" w:space="0"/>
              <w:bottom w:val="nil"/>
              <w:right w:val="single" w:color="auto" w:sz="4" w:space="0"/>
            </w:tcBorders>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金属工艺品制造</w:t>
            </w:r>
          </w:p>
        </w:tc>
        <w:tc>
          <w:tcPr>
            <w:tcW w:w="6844" w:type="dxa"/>
            <w:tcBorders>
              <w:left w:val="nil"/>
              <w:bottom w:val="nil"/>
              <w:right w:val="nil"/>
            </w:tcBorders>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指以金、银、铜、铁、锡等各种金属为原料，经过制胎、浇铸、锻打、錾刻、搓丝、焊接、纺织、镶嵌、点兰、烧制、打磨、电镀等各种工艺加工制成的造型美观、花纹图案精致的工艺美术品的制作活动。</w:t>
            </w:r>
          </w:p>
        </w:tc>
        <w:tc>
          <w:tcPr>
            <w:tcW w:w="1393" w:type="dxa"/>
            <w:tcBorders>
              <w:left w:val="single" w:color="auto" w:sz="4" w:space="0"/>
              <w:bottom w:val="nil"/>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2432</w:t>
            </w:r>
          </w:p>
        </w:tc>
      </w:tr>
      <w:tr>
        <w:tblPrEx>
          <w:tblCellMar>
            <w:top w:w="0" w:type="dxa"/>
            <w:left w:w="108" w:type="dxa"/>
            <w:bottom w:w="0" w:type="dxa"/>
            <w:right w:w="108" w:type="dxa"/>
          </w:tblCellMar>
        </w:tblPrEx>
        <w:trPr>
          <w:trHeight w:val="397"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0263</w:t>
            </w:r>
          </w:p>
        </w:tc>
        <w:tc>
          <w:tcPr>
            <w:tcW w:w="3846" w:type="dxa"/>
            <w:tcBorders>
              <w:top w:val="nil"/>
              <w:left w:val="single" w:color="auto" w:sz="4" w:space="0"/>
              <w:bottom w:val="nil"/>
              <w:right w:val="single" w:color="auto" w:sz="4" w:space="0"/>
            </w:tcBorders>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漆器工艺品制造</w:t>
            </w:r>
          </w:p>
        </w:tc>
        <w:tc>
          <w:tcPr>
            <w:tcW w:w="6844" w:type="dxa"/>
            <w:tcBorders>
              <w:top w:val="nil"/>
              <w:left w:val="nil"/>
              <w:bottom w:val="nil"/>
              <w:right w:val="nil"/>
            </w:tcBorders>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指将半生漆、腰果漆加工调配成各种鲜艳的漆料，以木、纸、塑料、铜、布等作胎，采用推光、雕填、彩画、镶嵌、刻灰等传统工艺和现代漆器工艺进行的工艺制品的制作活动。</w:t>
            </w:r>
          </w:p>
        </w:tc>
        <w:tc>
          <w:tcPr>
            <w:tcW w:w="1393" w:type="dxa"/>
            <w:tcBorders>
              <w:top w:val="nil"/>
              <w:left w:val="single" w:color="auto" w:sz="4" w:space="0"/>
              <w:bottom w:val="nil"/>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2433</w:t>
            </w:r>
          </w:p>
        </w:tc>
      </w:tr>
      <w:tr>
        <w:tblPrEx>
          <w:tblCellMar>
            <w:top w:w="0" w:type="dxa"/>
            <w:left w:w="108" w:type="dxa"/>
            <w:bottom w:w="0" w:type="dxa"/>
            <w:right w:w="108" w:type="dxa"/>
          </w:tblCellMar>
        </w:tblPrEx>
        <w:trPr>
          <w:trHeight w:val="1153" w:hRule="atLeast"/>
        </w:trPr>
        <w:tc>
          <w:tcPr>
            <w:tcW w:w="575"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4" w:space="0"/>
              <w:right w:val="single" w:color="auto" w:sz="4" w:space="0"/>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0264</w:t>
            </w:r>
          </w:p>
        </w:tc>
        <w:tc>
          <w:tcPr>
            <w:tcW w:w="3846" w:type="dxa"/>
            <w:tcBorders>
              <w:top w:val="nil"/>
              <w:left w:val="single" w:color="auto" w:sz="4" w:space="0"/>
              <w:bottom w:val="single" w:color="auto" w:sz="4" w:space="0"/>
              <w:right w:val="single" w:color="auto" w:sz="4" w:space="0"/>
            </w:tcBorders>
            <w:noWrap/>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 xml:space="preserve">    花画工艺品制造</w:t>
            </w:r>
          </w:p>
        </w:tc>
        <w:tc>
          <w:tcPr>
            <w:tcW w:w="6844" w:type="dxa"/>
            <w:tcBorders>
              <w:top w:val="nil"/>
              <w:left w:val="nil"/>
              <w:bottom w:val="single" w:color="auto" w:sz="4" w:space="0"/>
              <w:right w:val="nil"/>
            </w:tcBorders>
            <w:vAlign w:val="center"/>
          </w:tcPr>
          <w:p>
            <w:pPr>
              <w:widowControl/>
              <w:spacing w:line="320" w:lineRule="exact"/>
              <w:jc w:val="left"/>
              <w:rPr>
                <w:rFonts w:ascii="仿宋" w:hAnsi="仿宋" w:eastAsia="仿宋" w:cs="宋体"/>
                <w:sz w:val="20"/>
                <w:szCs w:val="20"/>
              </w:rPr>
            </w:pPr>
            <w:r>
              <w:rPr>
                <w:rFonts w:hint="eastAsia" w:ascii="仿宋" w:hAnsi="仿宋" w:eastAsia="仿宋" w:cs="宋体"/>
                <w:sz w:val="20"/>
                <w:szCs w:val="20"/>
              </w:rPr>
              <w:t>指以绢、丝、绒、纸、涤纶、塑料、羽毛、通草以及鲜花草等为原料，经造型设计、模压、剪贴、干燥等工艺精制而成的花、果、叶等人造花类工艺品，以画面出现、可以挂或摆的具有欣赏性、装饰性的画类工艺品的制作活动。</w:t>
            </w:r>
          </w:p>
        </w:tc>
        <w:tc>
          <w:tcPr>
            <w:tcW w:w="1393" w:type="dxa"/>
            <w:tcBorders>
              <w:top w:val="nil"/>
              <w:left w:val="single" w:color="auto" w:sz="4" w:space="0"/>
              <w:bottom w:val="single" w:color="auto" w:sz="4" w:space="0"/>
              <w:right w:val="nil"/>
            </w:tcBorders>
            <w:noWrap/>
            <w:vAlign w:val="center"/>
          </w:tcPr>
          <w:p>
            <w:pPr>
              <w:widowControl/>
              <w:spacing w:line="320" w:lineRule="exact"/>
              <w:jc w:val="center"/>
              <w:rPr>
                <w:rFonts w:ascii="仿宋" w:hAnsi="仿宋" w:eastAsia="仿宋" w:cs="宋体"/>
                <w:sz w:val="20"/>
                <w:szCs w:val="20"/>
              </w:rPr>
            </w:pPr>
            <w:r>
              <w:rPr>
                <w:rFonts w:hint="eastAsia" w:ascii="仿宋" w:hAnsi="仿宋" w:eastAsia="仿宋" w:cs="宋体"/>
                <w:sz w:val="20"/>
                <w:szCs w:val="20"/>
              </w:rPr>
              <w:t>2434</w:t>
            </w:r>
          </w:p>
        </w:tc>
      </w:tr>
      <w:tr>
        <w:tblPrEx>
          <w:tblCellMar>
            <w:top w:w="0" w:type="dxa"/>
            <w:left w:w="108" w:type="dxa"/>
            <w:bottom w:w="0" w:type="dxa"/>
            <w:right w:w="108" w:type="dxa"/>
          </w:tblCellMar>
        </w:tblPrEx>
        <w:trPr>
          <w:trHeight w:val="1080" w:hRule="atLeas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0265</w:t>
            </w: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天然植物纤维编织工艺品制造</w:t>
            </w:r>
          </w:p>
        </w:tc>
        <w:tc>
          <w:tcPr>
            <w:tcW w:w="6844" w:type="dxa"/>
            <w:tcBorders>
              <w:top w:val="single" w:color="auto" w:sz="4" w:space="0"/>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指以竹、藤、棕、草、柳、葵、麻等天然植物纤维为材料，经编织或镶嵌而成具有造型艺术或图案花纹，以欣赏为主的工艺陈列品以及工艺实用品的制作活动。</w:t>
            </w:r>
          </w:p>
        </w:tc>
        <w:tc>
          <w:tcPr>
            <w:tcW w:w="1393" w:type="dxa"/>
            <w:tcBorders>
              <w:top w:val="single" w:color="auto" w:sz="4" w:space="0"/>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2435</w:t>
            </w:r>
          </w:p>
        </w:tc>
      </w:tr>
      <w:tr>
        <w:tblPrEx>
          <w:tblCellMar>
            <w:top w:w="0" w:type="dxa"/>
            <w:left w:w="108" w:type="dxa"/>
            <w:bottom w:w="0" w:type="dxa"/>
            <w:right w:w="108" w:type="dxa"/>
          </w:tblCellMar>
        </w:tblPrEx>
        <w:trPr>
          <w:trHeight w:val="454"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0266</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抽纱刺绣工艺品制造</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以棉、麻、丝、毛及人造纤维纺织品等为主要原料，经设计、刺绣、抽、拉、钩等工艺加工各种生活装饰用品，以及以纺织品为主要原料，经特殊手工工艺或民间工艺方法加工成各种具有较强装饰效果的生活用纺织品的制作活动。</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2436</w:t>
            </w:r>
          </w:p>
        </w:tc>
      </w:tr>
      <w:tr>
        <w:tblPrEx>
          <w:tblCellMar>
            <w:top w:w="0" w:type="dxa"/>
            <w:left w:w="108" w:type="dxa"/>
            <w:bottom w:w="0" w:type="dxa"/>
            <w:right w:w="108" w:type="dxa"/>
          </w:tblCellMar>
        </w:tblPrEx>
        <w:trPr>
          <w:trHeight w:val="1021"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0267</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地毯、挂毯制造</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指以羊毛、丝、棉、麻及人造纤维等为原料，经手工编织、机织、栽绒等方式加工而成的各种具有装饰性的地面覆盖物或可用于悬挂、垫坐等用途的生活装饰用品的制作活动。</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2437</w:t>
            </w:r>
          </w:p>
        </w:tc>
      </w:tr>
      <w:tr>
        <w:tblPrEx>
          <w:tblCellMar>
            <w:top w:w="0" w:type="dxa"/>
            <w:left w:w="108" w:type="dxa"/>
            <w:bottom w:w="0" w:type="dxa"/>
            <w:right w:w="108" w:type="dxa"/>
          </w:tblCellMar>
        </w:tblPrEx>
        <w:trPr>
          <w:trHeight w:val="454"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0268</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珠宝首饰及有关物品制造</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指以金、银、铂等贵金属及其合金以及钻石、宝石、玉石、翡翠、珍珠等为原料，经金属加工和连结组合、镶嵌等工艺加工制作各种图案的装饰品的制作活动。</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2438</w:t>
            </w:r>
          </w:p>
        </w:tc>
      </w:tr>
      <w:tr>
        <w:tblPrEx>
          <w:tblCellMar>
            <w:top w:w="0" w:type="dxa"/>
            <w:left w:w="108" w:type="dxa"/>
            <w:bottom w:w="0" w:type="dxa"/>
            <w:right w:w="108" w:type="dxa"/>
          </w:tblCellMar>
        </w:tblPrEx>
        <w:trPr>
          <w:trHeight w:val="454"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0269</w:t>
            </w: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其他工艺美术及礼仪用品制造</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指其他工艺美术品的制造活动。</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2439</w:t>
            </w:r>
          </w:p>
        </w:tc>
      </w:tr>
      <w:tr>
        <w:tblPrEx>
          <w:tblCellMar>
            <w:top w:w="0" w:type="dxa"/>
            <w:left w:w="108" w:type="dxa"/>
            <w:bottom w:w="0" w:type="dxa"/>
            <w:right w:w="108" w:type="dxa"/>
          </w:tblCellMar>
        </w:tblPrEx>
        <w:trPr>
          <w:trHeight w:val="454"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027</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艺术陶瓷制造</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left"/>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0271</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陈设艺术陶瓷制造</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指以粘土、瓷土、瓷石、长石、石英等为原料，经制胎、施釉、装饰、烧制等工艺制成，主要供欣赏、装饰的陶瓷工艺美术品制造。 </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3075</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57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0272</w:t>
            </w:r>
          </w:p>
        </w:tc>
        <w:tc>
          <w:tcPr>
            <w:tcW w:w="3846" w:type="dxa"/>
            <w:tcBorders>
              <w:top w:val="nil"/>
              <w:left w:val="nil"/>
              <w:bottom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园艺陶瓷制造</w:t>
            </w:r>
          </w:p>
        </w:tc>
        <w:tc>
          <w:tcPr>
            <w:tcW w:w="6844" w:type="dxa"/>
            <w:tcBorders>
              <w:top w:val="nil"/>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指专门为园林、公园、室外景观的摆设或具有一定功能的大型陶瓷制造。 </w:t>
            </w:r>
          </w:p>
        </w:tc>
        <w:tc>
          <w:tcPr>
            <w:tcW w:w="1393" w:type="dxa"/>
            <w:tcBorders>
              <w:top w:val="nil"/>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3076</w:t>
            </w:r>
          </w:p>
        </w:tc>
      </w:tr>
      <w:tr>
        <w:tblPrEx>
          <w:tblCellMar>
            <w:top w:w="0" w:type="dxa"/>
            <w:left w:w="108" w:type="dxa"/>
            <w:bottom w:w="0" w:type="dxa"/>
            <w:right w:w="108" w:type="dxa"/>
          </w:tblCellMar>
        </w:tblPrEx>
        <w:trPr>
          <w:trHeight w:val="454" w:hRule="atLeas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w:t>
            </w: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创意设计服务</w:t>
            </w:r>
          </w:p>
        </w:tc>
        <w:tc>
          <w:tcPr>
            <w:tcW w:w="6844" w:type="dxa"/>
            <w:tcBorders>
              <w:top w:val="single" w:color="auto" w:sz="4" w:space="0"/>
              <w:left w:val="nil"/>
              <w:right w:val="nil"/>
            </w:tcBorders>
            <w:vAlign w:val="center"/>
          </w:tcPr>
          <w:p>
            <w:pPr>
              <w:widowControl/>
              <w:jc w:val="left"/>
              <w:rPr>
                <w:rFonts w:ascii="仿宋" w:hAnsi="仿宋" w:eastAsia="仿宋" w:cs="宋体"/>
                <w:b/>
                <w:bCs/>
                <w:sz w:val="20"/>
                <w:szCs w:val="20"/>
              </w:rPr>
            </w:pPr>
          </w:p>
        </w:tc>
        <w:tc>
          <w:tcPr>
            <w:tcW w:w="1393" w:type="dxa"/>
            <w:tcBorders>
              <w:top w:val="single" w:color="auto" w:sz="4" w:space="0"/>
              <w:left w:val="single" w:color="auto" w:sz="4" w:space="0"/>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atLeast"/>
        </w:trPr>
        <w:tc>
          <w:tcPr>
            <w:tcW w:w="575" w:type="dxa"/>
            <w:tcBorders>
              <w:left w:val="nil"/>
              <w:right w:val="nil"/>
            </w:tcBorders>
            <w:noWrap/>
            <w:vAlign w:val="center"/>
          </w:tcPr>
          <w:p>
            <w:pPr>
              <w:widowControl/>
              <w:jc w:val="left"/>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031</w:t>
            </w:r>
          </w:p>
        </w:tc>
        <w:tc>
          <w:tcPr>
            <w:tcW w:w="720" w:type="dxa"/>
            <w:tcBorders>
              <w:left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广告服务</w:t>
            </w:r>
          </w:p>
        </w:tc>
        <w:tc>
          <w:tcPr>
            <w:tcW w:w="6844" w:type="dxa"/>
            <w:tcBorders>
              <w:left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atLeast"/>
        </w:trPr>
        <w:tc>
          <w:tcPr>
            <w:tcW w:w="575" w:type="dxa"/>
            <w:tcBorders>
              <w:top w:val="nil"/>
              <w:left w:val="nil"/>
              <w:right w:val="nil"/>
            </w:tcBorders>
            <w:noWrap/>
            <w:vAlign w:val="center"/>
          </w:tcPr>
          <w:p>
            <w:pPr>
              <w:widowControl/>
              <w:jc w:val="left"/>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0311</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互联网广告服务</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指提供互联网广告设计、制作、发布及其他互联网广告服务。包括网络电视、网络手机等各种互联网终端的广告的服务。 </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7251</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0312</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其他广告服务</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指除互联网广告以外的广告服务。 </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7259</w:t>
            </w:r>
          </w:p>
        </w:tc>
      </w:tr>
      <w:tr>
        <w:tblPrEx>
          <w:tblCellMar>
            <w:top w:w="0" w:type="dxa"/>
            <w:left w:w="108" w:type="dxa"/>
            <w:bottom w:w="0" w:type="dxa"/>
            <w:right w:w="108" w:type="dxa"/>
          </w:tblCellMar>
        </w:tblPrEx>
        <w:trPr>
          <w:trHeight w:val="454"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032</w:t>
            </w:r>
          </w:p>
        </w:tc>
        <w:tc>
          <w:tcPr>
            <w:tcW w:w="720" w:type="dxa"/>
            <w:tcBorders>
              <w:left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设计服务</w:t>
            </w:r>
          </w:p>
        </w:tc>
        <w:tc>
          <w:tcPr>
            <w:tcW w:w="6844" w:type="dxa"/>
            <w:tcBorders>
              <w:left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right w:val="nil"/>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left"/>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0321</w:t>
            </w: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建筑设计服务</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仅包括房屋建筑工程，体育、休闲娱乐工程，室内装饰和风景园林工程专项设计服务。该小类包含在工程设计活动行业小类中。</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7484*</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w:t>
            </w:r>
            <w:r>
              <w:rPr>
                <w:rFonts w:ascii="仿宋" w:hAnsi="仿宋" w:eastAsia="仿宋" w:cs="宋体"/>
                <w:sz w:val="20"/>
                <w:szCs w:val="20"/>
              </w:rPr>
              <w:t>22</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工业设计服务</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指独立于生产企业的工业产品和生产工艺设计，不包括工业产品生产环境设计、产品传播设计、产品设计管理等活动。</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7491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03</w:t>
            </w:r>
            <w:r>
              <w:rPr>
                <w:rFonts w:ascii="仿宋" w:hAnsi="仿宋" w:eastAsia="仿宋" w:cs="宋体"/>
                <w:sz w:val="20"/>
                <w:szCs w:val="20"/>
              </w:rPr>
              <w:t>23</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专业设计服务</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包括时装、包装装潢、多媒体、动漫及衍生产品、饰物装饰、美术图案、展台、模型和其他专业设计服务。</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7492</w:t>
            </w:r>
          </w:p>
        </w:tc>
      </w:tr>
      <w:tr>
        <w:tblPrEx>
          <w:tblCellMar>
            <w:top w:w="0" w:type="dxa"/>
            <w:left w:w="108" w:type="dxa"/>
            <w:bottom w:w="0" w:type="dxa"/>
            <w:right w:w="108" w:type="dxa"/>
          </w:tblCellMar>
        </w:tblPrEx>
        <w:trPr>
          <w:trHeight w:val="454"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文化传播渠道</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出版物发行</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0411</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图书批发</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包括书籍、课本和其他图书的批发和进出口。</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5143</w:t>
            </w:r>
          </w:p>
        </w:tc>
      </w:tr>
      <w:tr>
        <w:tblPrEx>
          <w:tblCellMar>
            <w:top w:w="0" w:type="dxa"/>
            <w:left w:w="108" w:type="dxa"/>
            <w:bottom w:w="0" w:type="dxa"/>
            <w:right w:w="108" w:type="dxa"/>
          </w:tblCellMar>
        </w:tblPrEx>
        <w:trPr>
          <w:trHeight w:val="624" w:hRule="exact"/>
        </w:trPr>
        <w:tc>
          <w:tcPr>
            <w:tcW w:w="575"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0412</w:t>
            </w:r>
          </w:p>
        </w:tc>
        <w:tc>
          <w:tcPr>
            <w:tcW w:w="384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报刊批发</w:t>
            </w:r>
          </w:p>
        </w:tc>
        <w:tc>
          <w:tcPr>
            <w:tcW w:w="6844" w:type="dxa"/>
            <w:tcBorders>
              <w:top w:val="nil"/>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包括报纸、杂志的批发和进出口。</w:t>
            </w:r>
          </w:p>
        </w:tc>
        <w:tc>
          <w:tcPr>
            <w:tcW w:w="1393" w:type="dxa"/>
            <w:tcBorders>
              <w:top w:val="nil"/>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5144</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0413</w:t>
            </w:r>
          </w:p>
        </w:tc>
        <w:tc>
          <w:tcPr>
            <w:tcW w:w="3846" w:type="dxa"/>
            <w:tcBorders>
              <w:top w:val="single" w:color="auto" w:sz="4" w:space="0"/>
              <w:left w:val="single" w:color="auto" w:sz="4" w:space="0"/>
              <w:right w:val="single" w:color="auto" w:sz="4" w:space="0"/>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音像制品、电子和数字出版物批发</w:t>
            </w:r>
          </w:p>
        </w:tc>
        <w:tc>
          <w:tcPr>
            <w:tcW w:w="6844" w:type="dxa"/>
            <w:tcBorders>
              <w:top w:val="single" w:color="auto" w:sz="4" w:space="0"/>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包括音像制品及电子出版物的批发和进出口。</w:t>
            </w:r>
          </w:p>
        </w:tc>
        <w:tc>
          <w:tcPr>
            <w:tcW w:w="1393" w:type="dxa"/>
            <w:tcBorders>
              <w:top w:val="single" w:color="auto" w:sz="4" w:space="0"/>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5145</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0414</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图书、报刊零售</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包括图书零售服务，报纸、杂志专门零售服务，图书、报刊固定摊点零售服务。</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5243</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0415</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音像制品、电子和数字出版物零售</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包括音像制品专门零售店、电子出版物专门零售、音像制品及电子出版物固定摊点零售服务。</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5244</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0416</w:t>
            </w: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图书出租 </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指各种图书出租服务，不包括图书馆的租书业务。</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7124</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0417</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音像制品出租 </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指各种音像制品出租服务，不包括以销售音像制品为主的出租音像活动。</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7125</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广播电视节目传输</w:t>
            </w:r>
          </w:p>
        </w:tc>
        <w:tc>
          <w:tcPr>
            <w:tcW w:w="6844" w:type="dxa"/>
            <w:tcBorders>
              <w:left w:val="nil"/>
              <w:bottom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0421</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有线广播电视传输服务</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指有线广播电视网和信号的传输服务。</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6321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0422</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无线广播电视传输服务</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指无线广播电视信号的传输服务。</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6322</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0423</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广播电视卫星传输服务</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包括卫星广播电视信号的传输、覆盖与接收服务，卫星广播电视传输、覆盖、接收系统的设计、安装、调试、测试、监测等服务。</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6331</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043</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广播影视发行放映</w:t>
            </w:r>
          </w:p>
        </w:tc>
        <w:tc>
          <w:tcPr>
            <w:tcW w:w="6844" w:type="dxa"/>
            <w:tcBorders>
              <w:left w:val="nil"/>
              <w:bottom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0431</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电影和广播电视节目发行</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包括电影发行和进出口交易、非电视台制作的电视节目发行和进出口服务。</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8750</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0432</w:t>
            </w:r>
          </w:p>
        </w:tc>
        <w:tc>
          <w:tcPr>
            <w:tcW w:w="384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电影放映</w:t>
            </w:r>
          </w:p>
        </w:tc>
        <w:tc>
          <w:tcPr>
            <w:tcW w:w="6844" w:type="dxa"/>
            <w:tcBorders>
              <w:top w:val="nil"/>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指专业电影院以及设在娱乐场所独立（或相对独立）的电影放映等活动。</w:t>
            </w:r>
          </w:p>
        </w:tc>
        <w:tc>
          <w:tcPr>
            <w:tcW w:w="1393" w:type="dxa"/>
            <w:tcBorders>
              <w:top w:val="nil"/>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8760</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044</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艺术表演</w:t>
            </w:r>
          </w:p>
        </w:tc>
        <w:tc>
          <w:tcPr>
            <w:tcW w:w="6844" w:type="dxa"/>
            <w:tcBorders>
              <w:top w:val="single" w:color="auto" w:sz="4" w:space="0"/>
              <w:left w:val="nil"/>
              <w:right w:val="nil"/>
            </w:tcBorders>
            <w:vAlign w:val="center"/>
          </w:tcPr>
          <w:p>
            <w:pPr>
              <w:widowControl/>
              <w:jc w:val="left"/>
              <w:rPr>
                <w:rFonts w:ascii="仿宋" w:hAnsi="仿宋" w:eastAsia="仿宋" w:cs="宋体"/>
                <w:b/>
                <w:bCs/>
                <w:sz w:val="20"/>
                <w:szCs w:val="20"/>
              </w:rPr>
            </w:pPr>
          </w:p>
        </w:tc>
        <w:tc>
          <w:tcPr>
            <w:tcW w:w="1393" w:type="dxa"/>
            <w:tcBorders>
              <w:top w:val="single" w:color="auto" w:sz="4" w:space="0"/>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044</w:t>
            </w:r>
            <w:r>
              <w:rPr>
                <w:rFonts w:ascii="仿宋" w:hAnsi="仿宋" w:eastAsia="仿宋" w:cs="宋体"/>
                <w:sz w:val="20"/>
                <w:szCs w:val="20"/>
              </w:rPr>
              <w:t>0</w:t>
            </w: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艺术表演场馆</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指有观众席、舞台、灯光设备，专供文艺团体演出的场所管理活动。</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8820</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045</w:t>
            </w:r>
          </w:p>
        </w:tc>
        <w:tc>
          <w:tcPr>
            <w:tcW w:w="720" w:type="dxa"/>
            <w:tcBorders>
              <w:top w:val="nil"/>
              <w:left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互联网文化娱乐平台</w:t>
            </w:r>
          </w:p>
        </w:tc>
        <w:tc>
          <w:tcPr>
            <w:tcW w:w="6844" w:type="dxa"/>
            <w:tcBorders>
              <w:top w:val="nil"/>
              <w:left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585"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045</w:t>
            </w:r>
            <w:r>
              <w:rPr>
                <w:rFonts w:ascii="仿宋" w:hAnsi="仿宋" w:eastAsia="仿宋" w:cs="宋体"/>
                <w:sz w:val="20"/>
                <w:szCs w:val="20"/>
              </w:rPr>
              <w:t>0</w:t>
            </w: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互联网文化娱乐平台</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仅包括互联网演出购票平台、娱乐应用服务平台、音视频服务平台、读书平台、艺术品鉴定拍卖平台和文化艺术平台。该小类包含在互联网生活服务平台行业小类中。</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6432*</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046</w:t>
            </w:r>
          </w:p>
        </w:tc>
        <w:tc>
          <w:tcPr>
            <w:tcW w:w="720" w:type="dxa"/>
            <w:tcBorders>
              <w:top w:val="nil"/>
              <w:left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right w:val="single" w:color="auto" w:sz="4" w:space="0"/>
            </w:tcBorders>
            <w:noWrap/>
            <w:vAlign w:val="center"/>
          </w:tcPr>
          <w:p>
            <w:pPr>
              <w:widowControl/>
              <w:ind w:firstLine="201" w:firstLineChars="100"/>
              <w:jc w:val="left"/>
              <w:rPr>
                <w:rFonts w:ascii="仿宋" w:hAnsi="仿宋" w:eastAsia="仿宋" w:cs="宋体"/>
                <w:b/>
                <w:bCs/>
                <w:sz w:val="20"/>
                <w:szCs w:val="20"/>
              </w:rPr>
            </w:pPr>
            <w:r>
              <w:rPr>
                <w:rFonts w:hint="eastAsia" w:ascii="仿宋" w:hAnsi="仿宋" w:eastAsia="仿宋" w:cs="宋体"/>
                <w:b/>
                <w:bCs/>
                <w:sz w:val="20"/>
                <w:szCs w:val="20"/>
              </w:rPr>
              <w:t>艺术品拍卖及代理</w:t>
            </w:r>
          </w:p>
        </w:tc>
        <w:tc>
          <w:tcPr>
            <w:tcW w:w="6844" w:type="dxa"/>
            <w:tcBorders>
              <w:top w:val="nil"/>
              <w:left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0461</w:t>
            </w:r>
          </w:p>
        </w:tc>
        <w:tc>
          <w:tcPr>
            <w:tcW w:w="3846" w:type="dxa"/>
            <w:tcBorders>
              <w:top w:val="nil"/>
              <w:left w:val="single" w:color="auto" w:sz="4" w:space="0"/>
              <w:right w:val="single" w:color="auto" w:sz="4" w:space="0"/>
            </w:tcBorders>
            <w:noWrap/>
            <w:vAlign w:val="center"/>
          </w:tcPr>
          <w:p>
            <w:pPr>
              <w:widowControl/>
              <w:ind w:firstLine="400" w:firstLineChars="200"/>
              <w:jc w:val="left"/>
              <w:rPr>
                <w:rFonts w:ascii="仿宋" w:hAnsi="仿宋" w:eastAsia="仿宋" w:cs="宋体"/>
                <w:b/>
                <w:bCs/>
                <w:sz w:val="20"/>
                <w:szCs w:val="20"/>
              </w:rPr>
            </w:pPr>
            <w:r>
              <w:rPr>
                <w:rFonts w:hint="eastAsia" w:ascii="仿宋" w:hAnsi="仿宋" w:eastAsia="仿宋" w:cs="宋体"/>
                <w:sz w:val="20"/>
                <w:szCs w:val="20"/>
              </w:rPr>
              <w:t>艺术品、收藏品拍卖</w:t>
            </w:r>
          </w:p>
        </w:tc>
        <w:tc>
          <w:tcPr>
            <w:tcW w:w="6844" w:type="dxa"/>
            <w:tcBorders>
              <w:top w:val="nil"/>
              <w:left w:val="nil"/>
              <w:right w:val="nil"/>
            </w:tcBorders>
            <w:vAlign w:val="center"/>
          </w:tcPr>
          <w:p>
            <w:pPr>
              <w:widowControl/>
              <w:jc w:val="left"/>
              <w:rPr>
                <w:rFonts w:ascii="仿宋" w:hAnsi="仿宋" w:eastAsia="仿宋" w:cs="宋体"/>
                <w:b/>
                <w:bCs/>
                <w:sz w:val="20"/>
                <w:szCs w:val="20"/>
              </w:rPr>
            </w:pPr>
            <w:r>
              <w:rPr>
                <w:rFonts w:hint="eastAsia" w:ascii="仿宋" w:hAnsi="仿宋" w:eastAsia="仿宋" w:cs="宋体"/>
                <w:sz w:val="20"/>
                <w:szCs w:val="20"/>
              </w:rPr>
              <w:t>指艺术品、收藏品拍卖活动。包括艺（美）术品拍卖服务、文物拍卖服务、古董和字画拍卖服务。</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5183</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0462</w:t>
            </w:r>
          </w:p>
        </w:tc>
        <w:tc>
          <w:tcPr>
            <w:tcW w:w="3846" w:type="dxa"/>
            <w:tcBorders>
              <w:top w:val="nil"/>
              <w:left w:val="single" w:color="auto" w:sz="4" w:space="0"/>
              <w:right w:val="single" w:color="auto" w:sz="4" w:space="0"/>
            </w:tcBorders>
            <w:noWrap/>
            <w:vAlign w:val="center"/>
          </w:tcPr>
          <w:p>
            <w:pPr>
              <w:widowControl/>
              <w:ind w:firstLine="400" w:firstLineChars="200"/>
              <w:jc w:val="left"/>
              <w:rPr>
                <w:rFonts w:ascii="仿宋" w:hAnsi="仿宋" w:eastAsia="仿宋" w:cs="宋体"/>
                <w:b/>
                <w:bCs/>
                <w:sz w:val="20"/>
                <w:szCs w:val="20"/>
              </w:rPr>
            </w:pPr>
            <w:r>
              <w:rPr>
                <w:rFonts w:hint="eastAsia" w:ascii="仿宋" w:hAnsi="仿宋" w:eastAsia="仿宋" w:cs="宋体"/>
                <w:sz w:val="20"/>
                <w:szCs w:val="20"/>
              </w:rPr>
              <w:t>艺术品代理</w:t>
            </w:r>
          </w:p>
        </w:tc>
        <w:tc>
          <w:tcPr>
            <w:tcW w:w="6844" w:type="dxa"/>
            <w:tcBorders>
              <w:top w:val="nil"/>
              <w:left w:val="nil"/>
              <w:right w:val="nil"/>
            </w:tcBorders>
            <w:vAlign w:val="center"/>
          </w:tcPr>
          <w:p>
            <w:pPr>
              <w:widowControl/>
              <w:jc w:val="left"/>
              <w:rPr>
                <w:rFonts w:ascii="仿宋" w:hAnsi="仿宋" w:eastAsia="仿宋" w:cs="宋体"/>
                <w:b/>
                <w:bCs/>
                <w:sz w:val="20"/>
                <w:szCs w:val="20"/>
              </w:rPr>
            </w:pPr>
            <w:r>
              <w:rPr>
                <w:rFonts w:hint="eastAsia" w:ascii="仿宋" w:hAnsi="仿宋" w:eastAsia="仿宋" w:cs="宋体"/>
                <w:sz w:val="20"/>
                <w:szCs w:val="20"/>
              </w:rPr>
              <w:t>指艺术品代理活动。包括字画代理、古玩收藏品代理、画廊艺术经纪代理和其他艺术品代理。</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5184</w:t>
            </w:r>
          </w:p>
        </w:tc>
      </w:tr>
      <w:tr>
        <w:tblPrEx>
          <w:tblCellMar>
            <w:top w:w="0" w:type="dxa"/>
            <w:left w:w="108" w:type="dxa"/>
            <w:bottom w:w="0" w:type="dxa"/>
            <w:right w:w="108" w:type="dxa"/>
          </w:tblCellMar>
        </w:tblPrEx>
        <w:trPr>
          <w:trHeight w:val="510" w:hRule="exac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p>
        </w:tc>
        <w:tc>
          <w:tcPr>
            <w:tcW w:w="720" w:type="dxa"/>
            <w:tcBorders>
              <w:top w:val="nil"/>
              <w:left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工艺美术品销售</w:t>
            </w:r>
          </w:p>
        </w:tc>
        <w:tc>
          <w:tcPr>
            <w:tcW w:w="6844" w:type="dxa"/>
            <w:tcBorders>
              <w:top w:val="nil"/>
              <w:left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567" w:hRule="exac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r>
              <w:rPr>
                <w:rFonts w:hint="eastAsia" w:ascii="仿宋" w:hAnsi="仿宋" w:eastAsia="仿宋" w:cs="宋体"/>
                <w:sz w:val="20"/>
                <w:szCs w:val="20"/>
              </w:rPr>
              <w:t>1</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首饰、工艺品及收藏品批发</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指首饰、工艺品及收藏品的批发活动。</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5146</w:t>
            </w:r>
          </w:p>
        </w:tc>
      </w:tr>
      <w:tr>
        <w:tblPrEx>
          <w:tblCellMar>
            <w:top w:w="0" w:type="dxa"/>
            <w:left w:w="108" w:type="dxa"/>
            <w:bottom w:w="0" w:type="dxa"/>
            <w:right w:w="108" w:type="dxa"/>
          </w:tblCellMar>
        </w:tblPrEx>
        <w:trPr>
          <w:trHeight w:val="567" w:hRule="exact"/>
        </w:trPr>
        <w:tc>
          <w:tcPr>
            <w:tcW w:w="575"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r>
              <w:rPr>
                <w:rFonts w:hint="eastAsia" w:ascii="仿宋" w:hAnsi="仿宋" w:eastAsia="仿宋" w:cs="宋体"/>
                <w:sz w:val="20"/>
                <w:szCs w:val="20"/>
              </w:rPr>
              <w:t>2</w:t>
            </w:r>
          </w:p>
        </w:tc>
        <w:tc>
          <w:tcPr>
            <w:tcW w:w="384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珠宝首饰零售</w:t>
            </w:r>
          </w:p>
        </w:tc>
        <w:tc>
          <w:tcPr>
            <w:tcW w:w="6844" w:type="dxa"/>
            <w:tcBorders>
              <w:top w:val="nil"/>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指珠宝首饰的零售活动。</w:t>
            </w:r>
          </w:p>
        </w:tc>
        <w:tc>
          <w:tcPr>
            <w:tcW w:w="1393" w:type="dxa"/>
            <w:tcBorders>
              <w:top w:val="nil"/>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5245</w:t>
            </w:r>
          </w:p>
        </w:tc>
      </w:tr>
      <w:tr>
        <w:tblPrEx>
          <w:tblCellMar>
            <w:top w:w="0" w:type="dxa"/>
            <w:left w:w="108" w:type="dxa"/>
            <w:bottom w:w="0" w:type="dxa"/>
            <w:right w:w="108" w:type="dxa"/>
          </w:tblCellMar>
        </w:tblPrEx>
        <w:trPr>
          <w:trHeight w:val="996" w:hRule="exac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04</w:t>
            </w:r>
            <w:r>
              <w:rPr>
                <w:rFonts w:ascii="仿宋" w:hAnsi="仿宋" w:eastAsia="仿宋" w:cs="宋体"/>
                <w:sz w:val="20"/>
                <w:szCs w:val="20"/>
              </w:rPr>
              <w:t>7</w:t>
            </w:r>
            <w:r>
              <w:rPr>
                <w:rFonts w:hint="eastAsia" w:ascii="仿宋" w:hAnsi="仿宋" w:eastAsia="仿宋" w:cs="宋体"/>
                <w:sz w:val="20"/>
                <w:szCs w:val="20"/>
              </w:rPr>
              <w:t>3</w:t>
            </w: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工艺美术品及收藏品零售</w:t>
            </w:r>
          </w:p>
        </w:tc>
        <w:tc>
          <w:tcPr>
            <w:tcW w:w="6844" w:type="dxa"/>
            <w:tcBorders>
              <w:top w:val="single" w:color="auto" w:sz="4" w:space="0"/>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指专门经营具有收藏价值和艺术价值的工艺品、艺术品、古玩、字画、邮品等的店铺零售活动。</w:t>
            </w:r>
          </w:p>
        </w:tc>
        <w:tc>
          <w:tcPr>
            <w:tcW w:w="1393" w:type="dxa"/>
            <w:tcBorders>
              <w:top w:val="single" w:color="auto" w:sz="4" w:space="0"/>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5246</w:t>
            </w:r>
          </w:p>
        </w:tc>
      </w:tr>
      <w:tr>
        <w:tblPrEx>
          <w:tblCellMar>
            <w:top w:w="0" w:type="dxa"/>
            <w:left w:w="108" w:type="dxa"/>
            <w:bottom w:w="0" w:type="dxa"/>
            <w:right w:w="108" w:type="dxa"/>
          </w:tblCellMar>
        </w:tblPrEx>
        <w:trPr>
          <w:trHeight w:val="454" w:hRule="exact"/>
        </w:trPr>
        <w:tc>
          <w:tcPr>
            <w:tcW w:w="575"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w:t>
            </w: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文化投资运营</w:t>
            </w:r>
          </w:p>
        </w:tc>
        <w:tc>
          <w:tcPr>
            <w:tcW w:w="6844" w:type="dxa"/>
            <w:tcBorders>
              <w:left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051</w:t>
            </w:r>
          </w:p>
        </w:tc>
        <w:tc>
          <w:tcPr>
            <w:tcW w:w="720" w:type="dxa"/>
            <w:tcBorders>
              <w:top w:val="nil"/>
              <w:left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投资与资产管理</w:t>
            </w:r>
          </w:p>
        </w:tc>
        <w:tc>
          <w:tcPr>
            <w:tcW w:w="6844" w:type="dxa"/>
            <w:tcBorders>
              <w:top w:val="nil"/>
              <w:left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051</w:t>
            </w:r>
            <w:r>
              <w:rPr>
                <w:rFonts w:ascii="仿宋" w:hAnsi="仿宋" w:eastAsia="仿宋" w:cs="宋体"/>
                <w:sz w:val="20"/>
                <w:szCs w:val="20"/>
              </w:rPr>
              <w:t>0</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文化投资与资产管理</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仅指政府主管部门转变职能后，成立的国有文化资产管理机构和文化行业管理机构的活动；文化投资活动，不包括资本市场的投资。该小类包含在投资与资产管理行业小类中。</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7212*</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052</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运营管理</w:t>
            </w:r>
          </w:p>
        </w:tc>
        <w:tc>
          <w:tcPr>
            <w:tcW w:w="6844" w:type="dxa"/>
            <w:tcBorders>
              <w:left w:val="nil"/>
              <w:bottom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0521</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文化企业总部管理</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仅指文化企业总部的活动，其对外经营业务由下属的独立核算单位或单独核算单位承担，还包括派出机构的活动（如办事处等）。该小类包含在企业总部管理行业小类中。</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7211*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0522</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文化产业园区管理</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仅指非政府部门的文化产业园区管理服务。该小类包含在园区管理服务行业小类中。</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7221*</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w:t>
            </w: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文化娱乐休闲服务</w:t>
            </w:r>
          </w:p>
        </w:tc>
        <w:tc>
          <w:tcPr>
            <w:tcW w:w="6844" w:type="dxa"/>
            <w:tcBorders>
              <w:left w:val="nil"/>
              <w:bottom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w:t>
            </w:r>
          </w:p>
        </w:tc>
        <w:tc>
          <w:tcPr>
            <w:tcW w:w="720" w:type="dxa"/>
            <w:tcBorders>
              <w:top w:val="nil"/>
              <w:left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娱乐服务</w:t>
            </w:r>
          </w:p>
        </w:tc>
        <w:tc>
          <w:tcPr>
            <w:tcW w:w="6844" w:type="dxa"/>
            <w:tcBorders>
              <w:top w:val="nil"/>
              <w:left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0611</w:t>
            </w:r>
          </w:p>
        </w:tc>
        <w:tc>
          <w:tcPr>
            <w:tcW w:w="3846" w:type="dxa"/>
            <w:tcBorders>
              <w:left w:val="single" w:color="auto" w:sz="4" w:space="0"/>
              <w:bottom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歌舞厅娱乐活动</w:t>
            </w:r>
          </w:p>
        </w:tc>
        <w:tc>
          <w:tcPr>
            <w:tcW w:w="6844" w:type="dxa"/>
            <w:tcBorders>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指各种歌舞厅娱乐活动。</w:t>
            </w:r>
          </w:p>
        </w:tc>
        <w:tc>
          <w:tcPr>
            <w:tcW w:w="1393" w:type="dxa"/>
            <w:tcBorders>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9011</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0612</w:t>
            </w: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电子游艺厅娱乐活动</w:t>
            </w:r>
          </w:p>
        </w:tc>
        <w:tc>
          <w:tcPr>
            <w:tcW w:w="6844" w:type="dxa"/>
            <w:tcBorders>
              <w:top w:val="single" w:color="auto" w:sz="4" w:space="0"/>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指各种电子游艺厅娱乐服务。</w:t>
            </w:r>
          </w:p>
        </w:tc>
        <w:tc>
          <w:tcPr>
            <w:tcW w:w="1393" w:type="dxa"/>
            <w:tcBorders>
              <w:top w:val="single" w:color="auto" w:sz="4" w:space="0"/>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9012</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0613</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网吧活动</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指通过计算机等装置向公众提供互联网上网服务的网吧、电脑休闲室等营业性场所的服务。</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9013</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0614</w:t>
            </w: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其他室内娱乐活动</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包括儿童室内游戏娱乐服务、室内手工制作娱乐服务和其他室内娱乐服务。</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9019</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0615</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游乐园</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指配有大型娱乐设施的室外娱乐活动及以娱乐为主的活动。</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9020</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0616</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其他娱乐业</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指公园、海滩和旅游景点内小型设施的娱乐活动及其他娱乐活动。</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9090</w:t>
            </w:r>
          </w:p>
        </w:tc>
      </w:tr>
      <w:tr>
        <w:tblPrEx>
          <w:tblCellMar>
            <w:top w:w="0" w:type="dxa"/>
            <w:left w:w="108" w:type="dxa"/>
            <w:bottom w:w="0" w:type="dxa"/>
            <w:right w:w="108" w:type="dxa"/>
          </w:tblCellMar>
        </w:tblPrEx>
        <w:trPr>
          <w:trHeight w:val="567" w:hRule="exac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景区游览服务</w:t>
            </w:r>
          </w:p>
        </w:tc>
        <w:tc>
          <w:tcPr>
            <w:tcW w:w="6844" w:type="dxa"/>
            <w:tcBorders>
              <w:left w:val="nil"/>
              <w:bottom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0621</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城市公园管理</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指主要为人们提供休闲、观赏、游览以及开展科普活动的城市各类公园管理活动。</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7850</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0622</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名胜风景区管理</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指对具有一定规模的自然景观、人文景观的管理和保护活动，以及对环境优美、具有观赏、文化和科学价值风景名胜区的保护与管理活动。</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7861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0623</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森林公园管理</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指国家自然保护区、名胜景区以外的，以大面积人工林或天然林为主体而建设的公园管理活动。</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7862</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0624</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其他游览景区管理</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指其他未列明的游览景区的管理活动。</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7869</w:t>
            </w:r>
          </w:p>
        </w:tc>
      </w:tr>
      <w:tr>
        <w:tblPrEx>
          <w:tblCellMar>
            <w:top w:w="0" w:type="dxa"/>
            <w:left w:w="108" w:type="dxa"/>
            <w:bottom w:w="0" w:type="dxa"/>
            <w:right w:w="108" w:type="dxa"/>
          </w:tblCellMar>
        </w:tblPrEx>
        <w:trPr>
          <w:trHeight w:val="680" w:hRule="exact"/>
        </w:trPr>
        <w:tc>
          <w:tcPr>
            <w:tcW w:w="575"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0625</w:t>
            </w:r>
          </w:p>
        </w:tc>
        <w:tc>
          <w:tcPr>
            <w:tcW w:w="384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自然遗迹保护管理</w:t>
            </w:r>
          </w:p>
        </w:tc>
        <w:tc>
          <w:tcPr>
            <w:tcW w:w="6844" w:type="dxa"/>
            <w:tcBorders>
              <w:top w:val="nil"/>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包括地质遗迹保护管理、古生物遗迹保护管理等。</w:t>
            </w:r>
          </w:p>
        </w:tc>
        <w:tc>
          <w:tcPr>
            <w:tcW w:w="1393" w:type="dxa"/>
            <w:tcBorders>
              <w:top w:val="nil"/>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7712</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0626</w:t>
            </w: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动物园、水族馆管理服务</w:t>
            </w:r>
          </w:p>
        </w:tc>
        <w:tc>
          <w:tcPr>
            <w:tcW w:w="6844" w:type="dxa"/>
            <w:tcBorders>
              <w:top w:val="single" w:color="auto" w:sz="4" w:space="0"/>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指以保护、繁殖、科学研究、科普、供游客观赏为目的，饲养野生动物场所的管理服务。</w:t>
            </w:r>
          </w:p>
        </w:tc>
        <w:tc>
          <w:tcPr>
            <w:tcW w:w="1393" w:type="dxa"/>
            <w:tcBorders>
              <w:top w:val="single" w:color="auto" w:sz="4" w:space="0"/>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7715</w:t>
            </w:r>
          </w:p>
        </w:tc>
      </w:tr>
      <w:tr>
        <w:tblPrEx>
          <w:tblCellMar>
            <w:top w:w="0" w:type="dxa"/>
            <w:left w:w="108" w:type="dxa"/>
            <w:bottom w:w="0" w:type="dxa"/>
            <w:right w:w="108" w:type="dxa"/>
          </w:tblCellMar>
        </w:tblPrEx>
        <w:trPr>
          <w:trHeight w:val="460"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0627</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植物园管理服务</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指以调查、采集、鉴定、引种、驯化、保存、推广、科普为目的，并供游客游憩、观赏的园地管理服务。</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7716</w:t>
            </w:r>
          </w:p>
        </w:tc>
      </w:tr>
      <w:tr>
        <w:tblPrEx>
          <w:tblCellMar>
            <w:top w:w="0" w:type="dxa"/>
            <w:left w:w="108" w:type="dxa"/>
            <w:bottom w:w="0" w:type="dxa"/>
            <w:right w:w="108" w:type="dxa"/>
          </w:tblCellMar>
        </w:tblPrEx>
        <w:trPr>
          <w:trHeight w:val="567" w:hRule="exac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063</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休闲观光游览服务</w:t>
            </w:r>
          </w:p>
        </w:tc>
        <w:tc>
          <w:tcPr>
            <w:tcW w:w="6844" w:type="dxa"/>
            <w:tcBorders>
              <w:left w:val="nil"/>
              <w:bottom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0631</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休闲观光活动</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指以农林牧渔业、制造业等生产和服务领域为对象的休闲观光旅游活动。</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9030</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0632</w:t>
            </w:r>
          </w:p>
        </w:tc>
        <w:tc>
          <w:tcPr>
            <w:tcW w:w="3846" w:type="dxa"/>
            <w:tcBorders>
              <w:top w:val="nil"/>
              <w:left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观光游览航空服务</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指直升机、热气球等游览飞行服务。</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5622</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right w:val="single" w:color="auto" w:sz="4" w:space="0"/>
            </w:tcBorders>
            <w:noWrap/>
            <w:vAlign w:val="center"/>
          </w:tcPr>
          <w:p>
            <w:pPr>
              <w:widowControl/>
              <w:jc w:val="left"/>
              <w:rPr>
                <w:rFonts w:ascii="黑体" w:hAnsi="黑体" w:eastAsia="黑体" w:cs="宋体"/>
                <w:b/>
                <w:bCs/>
                <w:sz w:val="20"/>
                <w:szCs w:val="20"/>
              </w:rPr>
            </w:pPr>
            <w:r>
              <w:rPr>
                <w:rFonts w:hint="eastAsia" w:ascii="黑体" w:hAnsi="黑体" w:eastAsia="黑体" w:cs="宋体"/>
                <w:b/>
                <w:bCs/>
                <w:sz w:val="20"/>
                <w:szCs w:val="20"/>
              </w:rPr>
              <w:t>文化相关领域</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本领域包括07-09大类。</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575"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w:t>
            </w: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文化辅助生产和中介服务</w:t>
            </w:r>
          </w:p>
        </w:tc>
        <w:tc>
          <w:tcPr>
            <w:tcW w:w="6844" w:type="dxa"/>
            <w:tcBorders>
              <w:left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文化辅助用品制造</w:t>
            </w:r>
          </w:p>
        </w:tc>
        <w:tc>
          <w:tcPr>
            <w:tcW w:w="6844" w:type="dxa"/>
            <w:tcBorders>
              <w:left w:val="nil"/>
              <w:bottom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0711</w:t>
            </w:r>
          </w:p>
        </w:tc>
        <w:tc>
          <w:tcPr>
            <w:tcW w:w="3846" w:type="dxa"/>
            <w:tcBorders>
              <w:top w:val="nil"/>
              <w:left w:val="single" w:color="auto" w:sz="4" w:space="0"/>
              <w:bottom w:val="nil"/>
              <w:right w:val="single" w:color="auto" w:sz="4" w:space="0"/>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文化用机制纸及纸板制造</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仅指未涂布印刷书写用纸、涂布类印刷用纸、感应纸及纸板制造。该小类包含在机制纸及纸板制造行业小类中。</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2221*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0712</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手工纸制造</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指采用手工操作成型，制成纸的生产活动。包括手工纸（宣纸、国画纸、其他手工纸）及手工纸板。</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2222</w:t>
            </w:r>
          </w:p>
        </w:tc>
      </w:tr>
      <w:tr>
        <w:tblPrEx>
          <w:tblCellMar>
            <w:top w:w="0" w:type="dxa"/>
            <w:left w:w="108" w:type="dxa"/>
            <w:bottom w:w="0" w:type="dxa"/>
            <w:right w:w="108" w:type="dxa"/>
          </w:tblCellMar>
        </w:tblPrEx>
        <w:trPr>
          <w:trHeight w:val="499" w:hRule="atLeast"/>
        </w:trPr>
        <w:tc>
          <w:tcPr>
            <w:tcW w:w="575" w:type="dxa"/>
            <w:tcBorders>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0713</w:t>
            </w:r>
          </w:p>
        </w:tc>
        <w:tc>
          <w:tcPr>
            <w:tcW w:w="3846" w:type="dxa"/>
            <w:tcBorders>
              <w:left w:val="single" w:color="auto" w:sz="4" w:space="0"/>
              <w:bottom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油墨及类似产品制造</w:t>
            </w:r>
          </w:p>
        </w:tc>
        <w:tc>
          <w:tcPr>
            <w:tcW w:w="6844" w:type="dxa"/>
            <w:tcBorders>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指由颜料、联接料（植物油、矿物油、树脂、溶剂）和填充料经过混合、研磨调制而成，用于印刷的有色胶浆状物质，以及用于计算机打印、复印机用墨等的生产活动。</w:t>
            </w:r>
          </w:p>
        </w:tc>
        <w:tc>
          <w:tcPr>
            <w:tcW w:w="1393" w:type="dxa"/>
            <w:tcBorders>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2642</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0714</w:t>
            </w: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工艺美术颜料制造</w:t>
            </w:r>
          </w:p>
        </w:tc>
        <w:tc>
          <w:tcPr>
            <w:tcW w:w="6844" w:type="dxa"/>
            <w:tcBorders>
              <w:top w:val="single" w:color="auto" w:sz="4" w:space="0"/>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指油画、水粉画、广告等艺术用颜料的制造。</w:t>
            </w:r>
          </w:p>
        </w:tc>
        <w:tc>
          <w:tcPr>
            <w:tcW w:w="1393" w:type="dxa"/>
            <w:tcBorders>
              <w:top w:val="single" w:color="auto" w:sz="4" w:space="0"/>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2644</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0715</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文化用信息化学品制造</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指电影、照相、医用、幻灯及投影用感光材料、冲洗套药，磁、光记录材料，光纤维通讯用辅助材料，及其专用化学制剂的制造。</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2664</w:t>
            </w:r>
          </w:p>
        </w:tc>
      </w:tr>
      <w:tr>
        <w:tblPrEx>
          <w:tblCellMar>
            <w:top w:w="0" w:type="dxa"/>
            <w:left w:w="108" w:type="dxa"/>
            <w:bottom w:w="0" w:type="dxa"/>
            <w:right w:w="108" w:type="dxa"/>
          </w:tblCellMar>
        </w:tblPrEx>
        <w:trPr>
          <w:trHeight w:val="454" w:hRule="exac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印刷复制服务</w:t>
            </w:r>
          </w:p>
        </w:tc>
        <w:tc>
          <w:tcPr>
            <w:tcW w:w="6844" w:type="dxa"/>
            <w:tcBorders>
              <w:left w:val="nil"/>
              <w:bottom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0721</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书、报刊印刷</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指书、报刊的印刷活动。</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2311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0722</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本册印制</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指由各种纸及纸板制作的，用于书写和其他用途的本册生产活动。</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2312</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0723</w:t>
            </w: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包装装潢及其他印刷</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指根据一定的商品属性、形态，采用一定的包装材料，经过对商品包装的造型结构艺术和图案文字的设计与安排来装饰美化商品的印刷，以及其他印刷活动。</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2319</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0724</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装订及印刷相关服务</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指专门企业从事的装订、压印媒介制造等与印刷有关的服务。</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2320</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0725</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记录媒介复制</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指将母带、母盘上的信息进行批量翻录的生产活动。</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2330</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0726</w:t>
            </w: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摄影扩印服务</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包括摄影服务、照片扩印及处理服务。</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8060</w:t>
            </w: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073</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版权服务</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073</w:t>
            </w:r>
            <w:r>
              <w:rPr>
                <w:rFonts w:ascii="仿宋" w:hAnsi="仿宋" w:eastAsia="仿宋" w:cs="宋体"/>
                <w:sz w:val="20"/>
                <w:szCs w:val="20"/>
              </w:rPr>
              <w:t>0</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版权和文化软件服务</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仅指版权服务、文化软件服务。该小类包含在知识产权服务行业小类中。</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7520*</w:t>
            </w:r>
          </w:p>
        </w:tc>
      </w:tr>
      <w:tr>
        <w:tblPrEx>
          <w:tblCellMar>
            <w:top w:w="0" w:type="dxa"/>
            <w:left w:w="108" w:type="dxa"/>
            <w:bottom w:w="0" w:type="dxa"/>
            <w:right w:w="108" w:type="dxa"/>
          </w:tblCellMar>
        </w:tblPrEx>
        <w:trPr>
          <w:trHeight w:val="454" w:hRule="exact"/>
        </w:trPr>
        <w:tc>
          <w:tcPr>
            <w:tcW w:w="575" w:type="dxa"/>
            <w:tcBorders>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074</w:t>
            </w:r>
          </w:p>
        </w:tc>
        <w:tc>
          <w:tcPr>
            <w:tcW w:w="720" w:type="dxa"/>
            <w:tcBorders>
              <w:left w:val="nil"/>
              <w:bottom w:val="single" w:color="auto" w:sz="4" w:space="0"/>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bottom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会议展览服务</w:t>
            </w:r>
          </w:p>
        </w:tc>
        <w:tc>
          <w:tcPr>
            <w:tcW w:w="6844" w:type="dxa"/>
            <w:tcBorders>
              <w:left w:val="nil"/>
              <w:bottom w:val="single" w:color="auto" w:sz="4" w:space="0"/>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xml:space="preserve"> </w:t>
            </w:r>
          </w:p>
        </w:tc>
      </w:tr>
      <w:tr>
        <w:tblPrEx>
          <w:tblCellMar>
            <w:top w:w="0" w:type="dxa"/>
            <w:left w:w="108" w:type="dxa"/>
            <w:bottom w:w="0" w:type="dxa"/>
            <w:right w:w="108" w:type="dxa"/>
          </w:tblCellMar>
        </w:tblPrEx>
        <w:trPr>
          <w:trHeight w:val="794" w:hRule="exac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074</w:t>
            </w:r>
            <w:r>
              <w:rPr>
                <w:rFonts w:ascii="仿宋" w:hAnsi="仿宋" w:eastAsia="仿宋" w:cs="宋体"/>
                <w:sz w:val="20"/>
                <w:szCs w:val="20"/>
              </w:rPr>
              <w:t>0</w:t>
            </w:r>
          </w:p>
        </w:tc>
        <w:tc>
          <w:tcPr>
            <w:tcW w:w="3846" w:type="dxa"/>
            <w:tcBorders>
              <w:top w:val="single" w:color="auto" w:sz="4" w:space="0"/>
              <w:left w:val="single" w:color="auto" w:sz="4" w:space="0"/>
              <w:right w:val="single" w:color="auto" w:sz="4" w:space="0"/>
            </w:tcBorders>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会议、展览及相关服务</w:t>
            </w:r>
          </w:p>
        </w:tc>
        <w:tc>
          <w:tcPr>
            <w:tcW w:w="6844" w:type="dxa"/>
            <w:tcBorders>
              <w:top w:val="single" w:color="auto" w:sz="4" w:space="0"/>
              <w:left w:val="nil"/>
              <w:right w:val="nil"/>
            </w:tcBorders>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指以会议为主，也可附带展览及其他相关的活动形式，包括项目策划组织、场馆租赁保障、相关服务。 </w:t>
            </w:r>
          </w:p>
        </w:tc>
        <w:tc>
          <w:tcPr>
            <w:tcW w:w="1393" w:type="dxa"/>
            <w:tcBorders>
              <w:top w:val="single" w:color="auto" w:sz="4" w:space="0"/>
              <w:left w:val="single" w:color="auto" w:sz="4" w:space="0"/>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7281-7284</w:t>
            </w:r>
          </w:p>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w:t>
            </w:r>
            <w:r>
              <w:rPr>
                <w:rFonts w:ascii="仿宋" w:hAnsi="仿宋" w:eastAsia="仿宋" w:cs="宋体"/>
                <w:sz w:val="20"/>
                <w:szCs w:val="20"/>
              </w:rPr>
              <w:t>289</w:t>
            </w:r>
          </w:p>
        </w:tc>
      </w:tr>
      <w:tr>
        <w:tblPrEx>
          <w:tblCellMar>
            <w:top w:w="0" w:type="dxa"/>
            <w:left w:w="108" w:type="dxa"/>
            <w:bottom w:w="0" w:type="dxa"/>
            <w:right w:w="108" w:type="dxa"/>
          </w:tblCellMar>
        </w:tblPrEx>
        <w:trPr>
          <w:trHeight w:val="454" w:hRule="exact"/>
        </w:trPr>
        <w:tc>
          <w:tcPr>
            <w:tcW w:w="575" w:type="dxa"/>
            <w:tcBorders>
              <w:left w:val="nil"/>
              <w:right w:val="nil"/>
            </w:tcBorders>
            <w:noWrap/>
            <w:vAlign w:val="center"/>
          </w:tcPr>
          <w:p>
            <w:pPr>
              <w:widowControl/>
              <w:spacing w:line="340" w:lineRule="exact"/>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p>
        </w:tc>
        <w:tc>
          <w:tcPr>
            <w:tcW w:w="720" w:type="dxa"/>
            <w:tcBorders>
              <w:left w:val="nil"/>
              <w:right w:val="nil"/>
            </w:tcBorders>
            <w:noWrap/>
            <w:vAlign w:val="center"/>
          </w:tcPr>
          <w:p>
            <w:pPr>
              <w:widowControl/>
              <w:spacing w:line="340" w:lineRule="exact"/>
              <w:jc w:val="center"/>
              <w:rPr>
                <w:rFonts w:ascii="仿宋" w:hAnsi="仿宋" w:eastAsia="仿宋" w:cs="宋体"/>
                <w:sz w:val="20"/>
                <w:szCs w:val="20"/>
              </w:rPr>
            </w:pPr>
          </w:p>
        </w:tc>
        <w:tc>
          <w:tcPr>
            <w:tcW w:w="3846" w:type="dxa"/>
            <w:tcBorders>
              <w:left w:val="single" w:color="auto" w:sz="4" w:space="0"/>
              <w:right w:val="single" w:color="auto" w:sz="4" w:space="0"/>
            </w:tcBorders>
            <w:noWrap/>
            <w:vAlign w:val="center"/>
          </w:tcPr>
          <w:p>
            <w:pPr>
              <w:widowControl/>
              <w:spacing w:line="340" w:lineRule="exact"/>
              <w:jc w:val="left"/>
              <w:rPr>
                <w:rFonts w:ascii="仿宋" w:hAnsi="仿宋" w:eastAsia="仿宋" w:cs="宋体"/>
                <w:b/>
                <w:bCs/>
                <w:sz w:val="20"/>
                <w:szCs w:val="20"/>
              </w:rPr>
            </w:pPr>
            <w:r>
              <w:rPr>
                <w:rFonts w:hint="eastAsia" w:ascii="仿宋" w:hAnsi="仿宋" w:eastAsia="仿宋" w:cs="宋体"/>
                <w:b/>
                <w:bCs/>
                <w:sz w:val="20"/>
                <w:szCs w:val="20"/>
              </w:rPr>
              <w:t xml:space="preserve">  文化经纪代理服务</w:t>
            </w:r>
          </w:p>
        </w:tc>
        <w:tc>
          <w:tcPr>
            <w:tcW w:w="6844" w:type="dxa"/>
            <w:tcBorders>
              <w:left w:val="nil"/>
              <w:right w:val="nil"/>
            </w:tcBorders>
            <w:vAlign w:val="center"/>
          </w:tcPr>
          <w:p>
            <w:pPr>
              <w:widowControl/>
              <w:spacing w:line="340" w:lineRule="exact"/>
              <w:jc w:val="left"/>
              <w:rPr>
                <w:rFonts w:ascii="仿宋" w:hAnsi="仿宋" w:eastAsia="仿宋" w:cs="宋体"/>
                <w:b/>
                <w:bCs/>
                <w:sz w:val="20"/>
                <w:szCs w:val="20"/>
              </w:rPr>
            </w:pPr>
          </w:p>
        </w:tc>
        <w:tc>
          <w:tcPr>
            <w:tcW w:w="1393" w:type="dxa"/>
            <w:tcBorders>
              <w:left w:val="single" w:color="auto" w:sz="4" w:space="0"/>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851" w:hRule="exac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1</w:t>
            </w:r>
          </w:p>
        </w:tc>
        <w:tc>
          <w:tcPr>
            <w:tcW w:w="3846" w:type="dxa"/>
            <w:tcBorders>
              <w:left w:val="single" w:color="auto" w:sz="4" w:space="0"/>
              <w:bottom w:val="nil"/>
              <w:right w:val="single" w:color="auto" w:sz="4" w:space="0"/>
            </w:tcBorders>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文化活动服务</w:t>
            </w:r>
          </w:p>
        </w:tc>
        <w:tc>
          <w:tcPr>
            <w:tcW w:w="6844" w:type="dxa"/>
            <w:tcBorders>
              <w:left w:val="nil"/>
              <w:bottom w:val="nil"/>
              <w:right w:val="nil"/>
            </w:tcBorders>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指策划、组织、实施各类文化、晚会、娱乐、演出、庆典、节日等活动的服务。</w:t>
            </w:r>
          </w:p>
        </w:tc>
        <w:tc>
          <w:tcPr>
            <w:tcW w:w="1393" w:type="dxa"/>
            <w:tcBorders>
              <w:left w:val="single" w:color="auto" w:sz="4" w:space="0"/>
              <w:bottom w:val="nil"/>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9051</w:t>
            </w:r>
          </w:p>
        </w:tc>
      </w:tr>
      <w:tr>
        <w:tblPrEx>
          <w:tblCellMar>
            <w:top w:w="0" w:type="dxa"/>
            <w:left w:w="108" w:type="dxa"/>
            <w:bottom w:w="0" w:type="dxa"/>
            <w:right w:w="108" w:type="dxa"/>
          </w:tblCellMar>
        </w:tblPrEx>
        <w:trPr>
          <w:trHeight w:val="851" w:hRule="exac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2</w:t>
            </w:r>
          </w:p>
        </w:tc>
        <w:tc>
          <w:tcPr>
            <w:tcW w:w="3846" w:type="dxa"/>
            <w:tcBorders>
              <w:top w:val="nil"/>
              <w:left w:val="single" w:color="auto" w:sz="4" w:space="0"/>
              <w:bottom w:val="nil"/>
              <w:right w:val="single" w:color="auto" w:sz="4" w:space="0"/>
            </w:tcBorders>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文化娱乐经纪人</w:t>
            </w:r>
          </w:p>
        </w:tc>
        <w:tc>
          <w:tcPr>
            <w:tcW w:w="6844" w:type="dxa"/>
            <w:tcBorders>
              <w:top w:val="nil"/>
              <w:left w:val="nil"/>
              <w:bottom w:val="nil"/>
              <w:right w:val="nil"/>
            </w:tcBorders>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指各种文化娱乐经纪人活动。包括演员挑选、推荐服务，艺术家、作家经纪人服务，演员经纪人服务，模特经纪人服务，其他演员、艺术家经纪人服务。</w:t>
            </w:r>
          </w:p>
        </w:tc>
        <w:tc>
          <w:tcPr>
            <w:tcW w:w="1393" w:type="dxa"/>
            <w:tcBorders>
              <w:top w:val="nil"/>
              <w:left w:val="single" w:color="auto" w:sz="4" w:space="0"/>
              <w:bottom w:val="nil"/>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9053</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3</w:t>
            </w:r>
          </w:p>
        </w:tc>
        <w:tc>
          <w:tcPr>
            <w:tcW w:w="3846" w:type="dxa"/>
            <w:tcBorders>
              <w:top w:val="nil"/>
              <w:left w:val="single" w:color="auto" w:sz="4" w:space="0"/>
              <w:right w:val="single" w:color="auto" w:sz="4" w:space="0"/>
            </w:tcBorders>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其他文化艺术经纪代理</w:t>
            </w:r>
          </w:p>
        </w:tc>
        <w:tc>
          <w:tcPr>
            <w:tcW w:w="6844" w:type="dxa"/>
            <w:tcBorders>
              <w:top w:val="nil"/>
              <w:left w:val="nil"/>
              <w:right w:val="nil"/>
            </w:tcBorders>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指其他文化艺术经纪代理活动。</w:t>
            </w:r>
          </w:p>
        </w:tc>
        <w:tc>
          <w:tcPr>
            <w:tcW w:w="1393" w:type="dxa"/>
            <w:tcBorders>
              <w:top w:val="nil"/>
              <w:left w:val="single" w:color="auto" w:sz="4" w:space="0"/>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9059</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4</w:t>
            </w:r>
          </w:p>
        </w:tc>
        <w:tc>
          <w:tcPr>
            <w:tcW w:w="3846" w:type="dxa"/>
            <w:tcBorders>
              <w:top w:val="nil"/>
              <w:left w:val="single" w:color="auto" w:sz="4" w:space="0"/>
              <w:right w:val="single" w:color="auto" w:sz="4" w:space="0"/>
            </w:tcBorders>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婚庆典礼服务</w:t>
            </w:r>
          </w:p>
        </w:tc>
        <w:tc>
          <w:tcPr>
            <w:tcW w:w="6844" w:type="dxa"/>
            <w:tcBorders>
              <w:top w:val="nil"/>
              <w:left w:val="nil"/>
              <w:right w:val="nil"/>
            </w:tcBorders>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仅指婚庆礼仪服务。该小类包含在婚姻服务行业小类中。</w:t>
            </w:r>
          </w:p>
        </w:tc>
        <w:tc>
          <w:tcPr>
            <w:tcW w:w="1393" w:type="dxa"/>
            <w:tcBorders>
              <w:top w:val="nil"/>
              <w:left w:val="single" w:color="auto" w:sz="4" w:space="0"/>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8070*</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5</w:t>
            </w:r>
          </w:p>
        </w:tc>
        <w:tc>
          <w:tcPr>
            <w:tcW w:w="3846" w:type="dxa"/>
            <w:tcBorders>
              <w:left w:val="single" w:color="auto" w:sz="4" w:space="0"/>
              <w:bottom w:val="nil"/>
              <w:right w:val="single" w:color="auto" w:sz="4" w:space="0"/>
            </w:tcBorders>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文化贸易代理服务</w:t>
            </w:r>
          </w:p>
        </w:tc>
        <w:tc>
          <w:tcPr>
            <w:tcW w:w="6844" w:type="dxa"/>
            <w:tcBorders>
              <w:left w:val="nil"/>
              <w:bottom w:val="nil"/>
              <w:right w:val="nil"/>
            </w:tcBorders>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仅指文化贸易代理服务。该小类包含在贸易代理行业小类中。</w:t>
            </w:r>
          </w:p>
        </w:tc>
        <w:tc>
          <w:tcPr>
            <w:tcW w:w="1393" w:type="dxa"/>
            <w:tcBorders>
              <w:left w:val="single" w:color="auto" w:sz="4" w:space="0"/>
              <w:bottom w:val="nil"/>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5181*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5</w:t>
            </w:r>
            <w:r>
              <w:rPr>
                <w:rFonts w:hint="eastAsia" w:ascii="仿宋" w:hAnsi="仿宋" w:eastAsia="仿宋" w:cs="宋体"/>
                <w:sz w:val="20"/>
                <w:szCs w:val="20"/>
              </w:rPr>
              <w:t>6</w:t>
            </w:r>
          </w:p>
        </w:tc>
        <w:tc>
          <w:tcPr>
            <w:tcW w:w="3846" w:type="dxa"/>
            <w:tcBorders>
              <w:top w:val="nil"/>
              <w:left w:val="single" w:color="auto" w:sz="4" w:space="0"/>
              <w:right w:val="single" w:color="auto" w:sz="4" w:space="0"/>
            </w:tcBorders>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票务代理服务</w:t>
            </w:r>
          </w:p>
        </w:tc>
        <w:tc>
          <w:tcPr>
            <w:tcW w:w="6844" w:type="dxa"/>
            <w:tcBorders>
              <w:top w:val="nil"/>
              <w:left w:val="nil"/>
              <w:right w:val="nil"/>
            </w:tcBorders>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指除旅客交通票务代理外的各种票务代理服务。</w:t>
            </w:r>
          </w:p>
        </w:tc>
        <w:tc>
          <w:tcPr>
            <w:tcW w:w="1393" w:type="dxa"/>
            <w:tcBorders>
              <w:top w:val="nil"/>
              <w:left w:val="single" w:color="auto" w:sz="4" w:space="0"/>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7298</w:t>
            </w:r>
          </w:p>
        </w:tc>
      </w:tr>
      <w:tr>
        <w:tblPrEx>
          <w:tblCellMar>
            <w:top w:w="0" w:type="dxa"/>
            <w:left w:w="108" w:type="dxa"/>
            <w:bottom w:w="0" w:type="dxa"/>
            <w:right w:w="108" w:type="dxa"/>
          </w:tblCellMar>
        </w:tblPrEx>
        <w:trPr>
          <w:trHeight w:val="454" w:hRule="exac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6</w:t>
            </w:r>
          </w:p>
        </w:tc>
        <w:tc>
          <w:tcPr>
            <w:tcW w:w="720" w:type="dxa"/>
            <w:tcBorders>
              <w:left w:val="nil"/>
              <w:bottom w:val="nil"/>
              <w:right w:val="nil"/>
            </w:tcBorders>
            <w:noWrap/>
            <w:vAlign w:val="center"/>
          </w:tcPr>
          <w:p>
            <w:pPr>
              <w:widowControl/>
              <w:spacing w:line="340" w:lineRule="exact"/>
              <w:jc w:val="center"/>
              <w:rPr>
                <w:rFonts w:ascii="仿宋" w:hAnsi="仿宋" w:eastAsia="仿宋" w:cs="宋体"/>
                <w:sz w:val="20"/>
                <w:szCs w:val="20"/>
              </w:rPr>
            </w:pPr>
          </w:p>
        </w:tc>
        <w:tc>
          <w:tcPr>
            <w:tcW w:w="3846" w:type="dxa"/>
            <w:tcBorders>
              <w:left w:val="single" w:color="auto" w:sz="4" w:space="0"/>
              <w:bottom w:val="nil"/>
              <w:right w:val="single" w:color="auto" w:sz="4" w:space="0"/>
            </w:tcBorders>
            <w:noWrap/>
            <w:vAlign w:val="center"/>
          </w:tcPr>
          <w:p>
            <w:pPr>
              <w:widowControl/>
              <w:spacing w:line="340" w:lineRule="exact"/>
              <w:jc w:val="left"/>
              <w:rPr>
                <w:rFonts w:ascii="仿宋" w:hAnsi="仿宋" w:eastAsia="仿宋" w:cs="宋体"/>
                <w:b/>
                <w:bCs/>
                <w:sz w:val="20"/>
                <w:szCs w:val="20"/>
              </w:rPr>
            </w:pPr>
            <w:r>
              <w:rPr>
                <w:rFonts w:hint="eastAsia" w:ascii="仿宋" w:hAnsi="仿宋" w:eastAsia="仿宋" w:cs="宋体"/>
                <w:b/>
                <w:bCs/>
                <w:sz w:val="20"/>
                <w:szCs w:val="20"/>
              </w:rPr>
              <w:t xml:space="preserve">  文化设备（用品）出租服务</w:t>
            </w:r>
          </w:p>
        </w:tc>
        <w:tc>
          <w:tcPr>
            <w:tcW w:w="6844" w:type="dxa"/>
            <w:tcBorders>
              <w:left w:val="nil"/>
              <w:bottom w:val="nil"/>
              <w:right w:val="nil"/>
            </w:tcBorders>
            <w:vAlign w:val="center"/>
          </w:tcPr>
          <w:p>
            <w:pPr>
              <w:widowControl/>
              <w:spacing w:line="340" w:lineRule="exact"/>
              <w:jc w:val="left"/>
              <w:rPr>
                <w:rFonts w:ascii="仿宋" w:hAnsi="仿宋" w:eastAsia="仿宋" w:cs="宋体"/>
                <w:b/>
                <w:bCs/>
                <w:sz w:val="20"/>
                <w:szCs w:val="20"/>
              </w:rPr>
            </w:pPr>
          </w:p>
        </w:tc>
        <w:tc>
          <w:tcPr>
            <w:tcW w:w="1393" w:type="dxa"/>
            <w:tcBorders>
              <w:left w:val="single" w:color="auto" w:sz="4" w:space="0"/>
              <w:bottom w:val="nil"/>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6</w:t>
            </w:r>
            <w:r>
              <w:rPr>
                <w:rFonts w:hint="eastAsia" w:ascii="仿宋" w:hAnsi="仿宋" w:eastAsia="仿宋" w:cs="宋体"/>
                <w:sz w:val="20"/>
                <w:szCs w:val="20"/>
              </w:rPr>
              <w:t>1</w:t>
            </w:r>
          </w:p>
        </w:tc>
        <w:tc>
          <w:tcPr>
            <w:tcW w:w="3846" w:type="dxa"/>
            <w:tcBorders>
              <w:top w:val="nil"/>
              <w:left w:val="single" w:color="auto" w:sz="4" w:space="0"/>
              <w:right w:val="single" w:color="auto" w:sz="4" w:space="0"/>
            </w:tcBorders>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休闲娱乐用品设备出租</w:t>
            </w:r>
          </w:p>
        </w:tc>
        <w:tc>
          <w:tcPr>
            <w:tcW w:w="6844" w:type="dxa"/>
            <w:tcBorders>
              <w:top w:val="nil"/>
              <w:left w:val="nil"/>
              <w:right w:val="nil"/>
            </w:tcBorders>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指各种休闲娱乐用品设备出租活动。</w:t>
            </w:r>
          </w:p>
        </w:tc>
        <w:tc>
          <w:tcPr>
            <w:tcW w:w="1393" w:type="dxa"/>
            <w:tcBorders>
              <w:top w:val="nil"/>
              <w:left w:val="single" w:color="auto" w:sz="4" w:space="0"/>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7121</w:t>
            </w:r>
          </w:p>
        </w:tc>
      </w:tr>
      <w:tr>
        <w:tblPrEx>
          <w:tblCellMar>
            <w:top w:w="0" w:type="dxa"/>
            <w:left w:w="108" w:type="dxa"/>
            <w:bottom w:w="0" w:type="dxa"/>
            <w:right w:w="108" w:type="dxa"/>
          </w:tblCellMar>
        </w:tblPrEx>
        <w:trPr>
          <w:trHeight w:val="499" w:hRule="atLeast"/>
        </w:trPr>
        <w:tc>
          <w:tcPr>
            <w:tcW w:w="575" w:type="dxa"/>
            <w:tcBorders>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single" w:color="auto" w:sz="4" w:space="0"/>
              <w:right w:val="single" w:color="auto" w:sz="4" w:space="0"/>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single" w:color="auto" w:sz="4" w:space="0"/>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6</w:t>
            </w:r>
            <w:r>
              <w:rPr>
                <w:rFonts w:hint="eastAsia" w:ascii="仿宋" w:hAnsi="仿宋" w:eastAsia="仿宋" w:cs="宋体"/>
                <w:sz w:val="20"/>
                <w:szCs w:val="20"/>
              </w:rPr>
              <w:t>2</w:t>
            </w:r>
          </w:p>
        </w:tc>
        <w:tc>
          <w:tcPr>
            <w:tcW w:w="3846" w:type="dxa"/>
            <w:tcBorders>
              <w:left w:val="single" w:color="auto" w:sz="4" w:space="0"/>
              <w:bottom w:val="single" w:color="auto" w:sz="4" w:space="0"/>
              <w:right w:val="single" w:color="auto" w:sz="4" w:space="0"/>
            </w:tcBorders>
            <w:noWrap/>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 xml:space="preserve">    文化用品设备出租</w:t>
            </w:r>
          </w:p>
        </w:tc>
        <w:tc>
          <w:tcPr>
            <w:tcW w:w="6844" w:type="dxa"/>
            <w:tcBorders>
              <w:left w:val="nil"/>
              <w:bottom w:val="single" w:color="auto" w:sz="4" w:space="0"/>
              <w:right w:val="nil"/>
            </w:tcBorders>
            <w:vAlign w:val="center"/>
          </w:tcPr>
          <w:p>
            <w:pPr>
              <w:widowControl/>
              <w:spacing w:line="340" w:lineRule="exact"/>
              <w:jc w:val="left"/>
              <w:rPr>
                <w:rFonts w:ascii="仿宋" w:hAnsi="仿宋" w:eastAsia="仿宋" w:cs="宋体"/>
                <w:sz w:val="20"/>
                <w:szCs w:val="20"/>
              </w:rPr>
            </w:pPr>
            <w:r>
              <w:rPr>
                <w:rFonts w:hint="eastAsia" w:ascii="仿宋" w:hAnsi="仿宋" w:eastAsia="仿宋" w:cs="宋体"/>
                <w:sz w:val="20"/>
                <w:szCs w:val="20"/>
              </w:rPr>
              <w:t>指各种文化用品设备出租活动。</w:t>
            </w:r>
          </w:p>
        </w:tc>
        <w:tc>
          <w:tcPr>
            <w:tcW w:w="1393" w:type="dxa"/>
            <w:tcBorders>
              <w:left w:val="single" w:color="auto" w:sz="4" w:space="0"/>
              <w:bottom w:val="single" w:color="auto" w:sz="4" w:space="0"/>
              <w:right w:val="nil"/>
            </w:tcBorders>
            <w:noWrap/>
            <w:vAlign w:val="center"/>
          </w:tcPr>
          <w:p>
            <w:pPr>
              <w:widowControl/>
              <w:spacing w:line="340" w:lineRule="exact"/>
              <w:jc w:val="center"/>
              <w:rPr>
                <w:rFonts w:ascii="仿宋" w:hAnsi="仿宋" w:eastAsia="仿宋" w:cs="宋体"/>
                <w:sz w:val="20"/>
                <w:szCs w:val="20"/>
              </w:rPr>
            </w:pPr>
            <w:r>
              <w:rPr>
                <w:rFonts w:hint="eastAsia" w:ascii="仿宋" w:hAnsi="仿宋" w:eastAsia="仿宋" w:cs="宋体"/>
                <w:sz w:val="20"/>
                <w:szCs w:val="20"/>
              </w:rPr>
              <w:t>7123</w:t>
            </w:r>
          </w:p>
        </w:tc>
      </w:tr>
      <w:tr>
        <w:tblPrEx>
          <w:tblCellMar>
            <w:top w:w="0" w:type="dxa"/>
            <w:left w:w="108" w:type="dxa"/>
            <w:bottom w:w="0" w:type="dxa"/>
            <w:right w:w="108" w:type="dxa"/>
          </w:tblCellMar>
        </w:tblPrEx>
        <w:trPr>
          <w:trHeight w:val="454" w:hRule="exac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w:t>
            </w:r>
            <w:r>
              <w:rPr>
                <w:rFonts w:ascii="仿宋" w:hAnsi="仿宋" w:eastAsia="仿宋" w:cs="宋体"/>
                <w:sz w:val="20"/>
                <w:szCs w:val="20"/>
              </w:rPr>
              <w:t>7</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文化科研培训服务</w:t>
            </w:r>
          </w:p>
        </w:tc>
        <w:tc>
          <w:tcPr>
            <w:tcW w:w="6844" w:type="dxa"/>
            <w:tcBorders>
              <w:top w:val="single" w:color="auto" w:sz="4" w:space="0"/>
              <w:left w:val="nil"/>
              <w:right w:val="nil"/>
            </w:tcBorders>
            <w:vAlign w:val="center"/>
          </w:tcPr>
          <w:p>
            <w:pPr>
              <w:widowControl/>
              <w:jc w:val="left"/>
              <w:rPr>
                <w:rFonts w:ascii="仿宋" w:hAnsi="仿宋" w:eastAsia="仿宋" w:cs="宋体"/>
                <w:b/>
                <w:bCs/>
                <w:sz w:val="20"/>
                <w:szCs w:val="20"/>
              </w:rPr>
            </w:pPr>
          </w:p>
        </w:tc>
        <w:tc>
          <w:tcPr>
            <w:tcW w:w="1393" w:type="dxa"/>
            <w:tcBorders>
              <w:top w:val="single" w:color="auto" w:sz="4" w:space="0"/>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0771</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社会人文科学研究</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指各种社会人文科学研究活动。</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7350</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0772</w:t>
            </w: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学术理论社会（文化 ）团体 </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仅指学术理论社会团体、文化团体的服务。该小类包含在专业性团体行业小类中。</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9521*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0773</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文化艺术培训</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指国家学校教育制度以外，由正规学校或社会各界办的文化艺术培训活动，不包括少年儿童的课外艺术辅导班。</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8393</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0774</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文化艺术辅导</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仅包括美术、舞蹈、音乐、书法和武术等辅导服务。该小类包含在其他未列明教育行业小类中。</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8399*</w:t>
            </w:r>
          </w:p>
        </w:tc>
      </w:tr>
      <w:tr>
        <w:tblPrEx>
          <w:tblCellMar>
            <w:top w:w="0" w:type="dxa"/>
            <w:left w:w="108" w:type="dxa"/>
            <w:bottom w:w="0" w:type="dxa"/>
            <w:right w:w="108" w:type="dxa"/>
          </w:tblCellMar>
        </w:tblPrEx>
        <w:trPr>
          <w:trHeight w:val="454" w:hRule="exac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w:t>
            </w: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文化装备生产</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54" w:hRule="exact"/>
        </w:trPr>
        <w:tc>
          <w:tcPr>
            <w:tcW w:w="575" w:type="dxa"/>
            <w:tcBorders>
              <w:top w:val="nil"/>
              <w:left w:val="nil"/>
              <w:right w:val="nil"/>
            </w:tcBorders>
            <w:noWrap/>
            <w:vAlign w:val="center"/>
          </w:tcPr>
          <w:p>
            <w:pPr>
              <w:widowControl/>
              <w:spacing w:line="480" w:lineRule="auto"/>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spacing w:line="480" w:lineRule="auto"/>
              <w:jc w:val="center"/>
              <w:rPr>
                <w:rFonts w:ascii="仿宋" w:hAnsi="仿宋" w:eastAsia="仿宋" w:cs="宋体"/>
                <w:sz w:val="20"/>
                <w:szCs w:val="20"/>
              </w:rPr>
            </w:pPr>
            <w:r>
              <w:rPr>
                <w:rFonts w:hint="eastAsia" w:ascii="仿宋" w:hAnsi="仿宋" w:eastAsia="仿宋" w:cs="宋体"/>
                <w:sz w:val="20"/>
                <w:szCs w:val="20"/>
              </w:rPr>
              <w:t>081</w:t>
            </w:r>
          </w:p>
        </w:tc>
        <w:tc>
          <w:tcPr>
            <w:tcW w:w="720" w:type="dxa"/>
            <w:tcBorders>
              <w:top w:val="nil"/>
              <w:left w:val="nil"/>
              <w:right w:val="nil"/>
            </w:tcBorders>
            <w:noWrap/>
            <w:vAlign w:val="center"/>
          </w:tcPr>
          <w:p>
            <w:pPr>
              <w:widowControl/>
              <w:spacing w:line="480" w:lineRule="auto"/>
              <w:jc w:val="center"/>
              <w:rPr>
                <w:rFonts w:ascii="仿宋" w:hAnsi="仿宋" w:eastAsia="仿宋" w:cs="宋体"/>
                <w:sz w:val="20"/>
                <w:szCs w:val="20"/>
              </w:rPr>
            </w:pPr>
          </w:p>
        </w:tc>
        <w:tc>
          <w:tcPr>
            <w:tcW w:w="3846" w:type="dxa"/>
            <w:tcBorders>
              <w:top w:val="nil"/>
              <w:left w:val="single" w:color="auto" w:sz="4" w:space="0"/>
              <w:right w:val="single" w:color="auto" w:sz="4" w:space="0"/>
            </w:tcBorders>
            <w:noWrap/>
            <w:vAlign w:val="center"/>
          </w:tcPr>
          <w:p>
            <w:pPr>
              <w:widowControl/>
              <w:spacing w:line="480" w:lineRule="auto"/>
              <w:jc w:val="left"/>
              <w:rPr>
                <w:rFonts w:ascii="仿宋" w:hAnsi="仿宋" w:eastAsia="仿宋" w:cs="宋体"/>
                <w:b/>
                <w:bCs/>
                <w:sz w:val="20"/>
                <w:szCs w:val="20"/>
              </w:rPr>
            </w:pPr>
            <w:r>
              <w:rPr>
                <w:rFonts w:hint="eastAsia" w:ascii="仿宋" w:hAnsi="仿宋" w:eastAsia="仿宋" w:cs="宋体"/>
                <w:b/>
                <w:bCs/>
                <w:sz w:val="20"/>
                <w:szCs w:val="20"/>
              </w:rPr>
              <w:t xml:space="preserve">  印刷设备制造</w:t>
            </w:r>
          </w:p>
        </w:tc>
        <w:tc>
          <w:tcPr>
            <w:tcW w:w="6844" w:type="dxa"/>
            <w:tcBorders>
              <w:top w:val="nil"/>
              <w:left w:val="nil"/>
              <w:right w:val="nil"/>
            </w:tcBorders>
            <w:vAlign w:val="center"/>
          </w:tcPr>
          <w:p>
            <w:pPr>
              <w:widowControl/>
              <w:spacing w:line="480" w:lineRule="auto"/>
              <w:jc w:val="left"/>
              <w:rPr>
                <w:rFonts w:ascii="仿宋" w:hAnsi="仿宋" w:eastAsia="仿宋" w:cs="宋体"/>
                <w:b/>
                <w:bCs/>
                <w:sz w:val="20"/>
                <w:szCs w:val="20"/>
              </w:rPr>
            </w:pPr>
          </w:p>
        </w:tc>
        <w:tc>
          <w:tcPr>
            <w:tcW w:w="1393" w:type="dxa"/>
            <w:tcBorders>
              <w:top w:val="nil"/>
              <w:left w:val="single" w:color="auto" w:sz="4" w:space="0"/>
              <w:right w:val="nil"/>
            </w:tcBorders>
            <w:noWrap/>
            <w:vAlign w:val="center"/>
          </w:tcPr>
          <w:p>
            <w:pPr>
              <w:widowControl/>
              <w:spacing w:line="480" w:lineRule="auto"/>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0811</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印刷专用设备制造</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指使用印刷或其他方式将图文信息转移到承印物上的专用生产设备的制造。</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3542</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0812</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复印和胶印设备制造</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指各种用途的复印设备和集复印、打印、扫描、传真为一体的多功能一体机的制造；以及主要用于办公室的胶印设备、文字处理设备及零件的制造。</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3474</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w:t>
            </w:r>
          </w:p>
        </w:tc>
        <w:tc>
          <w:tcPr>
            <w:tcW w:w="720" w:type="dxa"/>
            <w:tcBorders>
              <w:left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广播电视电影设备制造及销售</w:t>
            </w:r>
          </w:p>
        </w:tc>
        <w:tc>
          <w:tcPr>
            <w:tcW w:w="6844" w:type="dxa"/>
            <w:tcBorders>
              <w:left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0821</w:t>
            </w:r>
          </w:p>
        </w:tc>
        <w:tc>
          <w:tcPr>
            <w:tcW w:w="3846"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广播电视节目制作及发射设备制造</w:t>
            </w:r>
          </w:p>
        </w:tc>
        <w:tc>
          <w:tcPr>
            <w:tcW w:w="6844" w:type="dxa"/>
            <w:tcBorders>
              <w:top w:val="nil"/>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指广播电视节目制作、发射设备及器材的制造。</w:t>
            </w:r>
          </w:p>
        </w:tc>
        <w:tc>
          <w:tcPr>
            <w:tcW w:w="1393" w:type="dxa"/>
            <w:tcBorders>
              <w:top w:val="nil"/>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3931</w:t>
            </w:r>
          </w:p>
        </w:tc>
      </w:tr>
      <w:tr>
        <w:tblPrEx>
          <w:tblCellMar>
            <w:top w:w="0" w:type="dxa"/>
            <w:left w:w="108" w:type="dxa"/>
            <w:bottom w:w="0" w:type="dxa"/>
            <w:right w:w="108" w:type="dxa"/>
          </w:tblCellMar>
        </w:tblPrEx>
        <w:trPr>
          <w:trHeight w:val="926" w:hRule="atLeas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0822</w:t>
            </w: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广播电视接收设备制造</w:t>
            </w:r>
          </w:p>
        </w:tc>
        <w:tc>
          <w:tcPr>
            <w:tcW w:w="6844" w:type="dxa"/>
            <w:tcBorders>
              <w:top w:val="single" w:color="auto" w:sz="4" w:space="0"/>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指专业广播电视接收设备的制造，但不包括家用广播电视接收设备的制造。</w:t>
            </w:r>
          </w:p>
        </w:tc>
        <w:tc>
          <w:tcPr>
            <w:tcW w:w="1393" w:type="dxa"/>
            <w:tcBorders>
              <w:top w:val="single" w:color="auto" w:sz="4" w:space="0"/>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3932</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0823</w:t>
            </w: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广播电视专用配件制造</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指专业用录像重放及其他配套的广播电视设备的制造，但不包括家用广播电视装置的制造。</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3933</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0824</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专业音响设备制造</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指广播电视、影剧院、录音棚、会议、各种场地等专业用录音、音响设备及其他配套设备的制造。</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3934</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0825</w:t>
            </w:r>
          </w:p>
        </w:tc>
        <w:tc>
          <w:tcPr>
            <w:tcW w:w="3846" w:type="dxa"/>
            <w:tcBorders>
              <w:top w:val="nil"/>
              <w:left w:val="single" w:color="auto" w:sz="4" w:space="0"/>
              <w:bottom w:val="nil"/>
              <w:right w:val="single" w:color="auto" w:sz="4" w:space="0"/>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应用电视设备及其他广播电视设备制造</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指应用电视设备、其他广播电视设备和器材的制造。</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3939</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0826</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广播影视设备批发</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指广播影视设备的批发和进出口活动。</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5178</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0827</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电影机械制造</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指各种类型或用途的电影摄影机、电影录音摄影机、影像放映机及电影辅助器材和配件的制造。</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3471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083</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摄录设备制造及销售</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spacing w:line="120" w:lineRule="auto"/>
              <w:jc w:val="center"/>
              <w:rPr>
                <w:rFonts w:ascii="仿宋" w:hAnsi="仿宋" w:eastAsia="仿宋" w:cs="宋体"/>
                <w:sz w:val="20"/>
                <w:szCs w:val="20"/>
              </w:rPr>
            </w:pPr>
          </w:p>
        </w:tc>
        <w:tc>
          <w:tcPr>
            <w:tcW w:w="720" w:type="dxa"/>
            <w:tcBorders>
              <w:top w:val="nil"/>
              <w:left w:val="nil"/>
              <w:right w:val="nil"/>
            </w:tcBorders>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0831</w:t>
            </w:r>
          </w:p>
        </w:tc>
        <w:tc>
          <w:tcPr>
            <w:tcW w:w="3846" w:type="dxa"/>
            <w:tcBorders>
              <w:top w:val="nil"/>
              <w:left w:val="single" w:color="auto" w:sz="4" w:space="0"/>
              <w:right w:val="single" w:color="auto" w:sz="4" w:space="0"/>
            </w:tcBorders>
            <w:noWrap/>
            <w:vAlign w:val="center"/>
          </w:tcPr>
          <w:p>
            <w:pPr>
              <w:widowControl/>
              <w:spacing w:line="120" w:lineRule="auto"/>
              <w:ind w:firstLine="400" w:firstLineChars="200"/>
              <w:jc w:val="left"/>
              <w:rPr>
                <w:rFonts w:ascii="仿宋" w:hAnsi="仿宋" w:eastAsia="仿宋" w:cs="宋体"/>
                <w:sz w:val="20"/>
                <w:szCs w:val="20"/>
              </w:rPr>
            </w:pPr>
            <w:r>
              <w:rPr>
                <w:rFonts w:hint="eastAsia" w:ascii="仿宋" w:hAnsi="仿宋" w:eastAsia="仿宋" w:cs="宋体"/>
                <w:sz w:val="20"/>
                <w:szCs w:val="20"/>
              </w:rPr>
              <w:t>影视录放设备制造</w:t>
            </w:r>
          </w:p>
        </w:tc>
        <w:tc>
          <w:tcPr>
            <w:tcW w:w="6844" w:type="dxa"/>
            <w:tcBorders>
              <w:top w:val="nil"/>
              <w:left w:val="nil"/>
              <w:right w:val="nil"/>
            </w:tcBorders>
            <w:vAlign w:val="center"/>
          </w:tcPr>
          <w:p>
            <w:pPr>
              <w:widowControl/>
              <w:rPr>
                <w:rFonts w:ascii="仿宋" w:hAnsi="仿宋" w:eastAsia="仿宋" w:cs="宋体"/>
                <w:sz w:val="20"/>
                <w:szCs w:val="20"/>
              </w:rPr>
            </w:pPr>
            <w:r>
              <w:rPr>
                <w:rFonts w:hint="eastAsia" w:ascii="仿宋" w:hAnsi="仿宋" w:eastAsia="仿宋" w:cs="宋体"/>
                <w:sz w:val="20"/>
                <w:szCs w:val="20"/>
              </w:rPr>
              <w:t>指非专业用录像机、摄像机、激光视盘机等影视设备整机及零部件的制造，包括教学用影视设备的制造，但不包括广播电视等专业影视设备的制造。</w:t>
            </w:r>
          </w:p>
        </w:tc>
        <w:tc>
          <w:tcPr>
            <w:tcW w:w="1393" w:type="dxa"/>
            <w:tcBorders>
              <w:top w:val="nil"/>
              <w:left w:val="single" w:color="auto" w:sz="4" w:space="0"/>
              <w:right w:val="nil"/>
            </w:tcBorders>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3953</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0832</w:t>
            </w:r>
          </w:p>
        </w:tc>
        <w:tc>
          <w:tcPr>
            <w:tcW w:w="3846" w:type="dxa"/>
            <w:tcBorders>
              <w:top w:val="nil"/>
              <w:left w:val="single" w:color="auto" w:sz="4" w:space="0"/>
              <w:right w:val="single" w:color="auto" w:sz="4" w:space="0"/>
            </w:tcBorders>
            <w:noWrap/>
            <w:vAlign w:val="center"/>
          </w:tcPr>
          <w:p>
            <w:pPr>
              <w:widowControl/>
              <w:spacing w:line="120" w:lineRule="auto"/>
              <w:jc w:val="left"/>
              <w:rPr>
                <w:rFonts w:ascii="仿宋" w:hAnsi="仿宋" w:eastAsia="仿宋" w:cs="宋体"/>
                <w:sz w:val="20"/>
                <w:szCs w:val="20"/>
              </w:rPr>
            </w:pPr>
            <w:r>
              <w:rPr>
                <w:rFonts w:hint="eastAsia" w:ascii="仿宋" w:hAnsi="仿宋" w:eastAsia="仿宋" w:cs="宋体"/>
                <w:sz w:val="20"/>
                <w:szCs w:val="20"/>
              </w:rPr>
              <w:t xml:space="preserve">    娱乐用智能无人飞行器制造</w:t>
            </w:r>
          </w:p>
        </w:tc>
        <w:tc>
          <w:tcPr>
            <w:tcW w:w="6844" w:type="dxa"/>
            <w:tcBorders>
              <w:top w:val="nil"/>
              <w:left w:val="nil"/>
              <w:right w:val="nil"/>
            </w:tcBorders>
            <w:vAlign w:val="center"/>
          </w:tcPr>
          <w:p>
            <w:pPr>
              <w:widowControl/>
              <w:rPr>
                <w:rFonts w:ascii="仿宋" w:hAnsi="仿宋" w:eastAsia="仿宋" w:cs="宋体"/>
                <w:sz w:val="20"/>
                <w:szCs w:val="20"/>
              </w:rPr>
            </w:pPr>
            <w:r>
              <w:rPr>
                <w:rFonts w:hint="eastAsia" w:ascii="仿宋" w:hAnsi="仿宋" w:eastAsia="仿宋" w:cs="宋体"/>
                <w:sz w:val="20"/>
                <w:szCs w:val="20"/>
              </w:rPr>
              <w:t>指按照国家有关安全规定标准，经允许生产并主要用于娱乐的智能无人飞行器的制造。该</w:t>
            </w:r>
            <w:r>
              <w:rPr>
                <w:rFonts w:ascii="仿宋" w:hAnsi="仿宋" w:eastAsia="仿宋" w:cs="宋体"/>
                <w:sz w:val="20"/>
                <w:szCs w:val="20"/>
              </w:rPr>
              <w:t>小类包含在</w:t>
            </w:r>
            <w:r>
              <w:rPr>
                <w:rFonts w:hint="eastAsia" w:ascii="仿宋" w:hAnsi="仿宋" w:eastAsia="仿宋" w:cs="宋体"/>
                <w:sz w:val="20"/>
                <w:szCs w:val="20"/>
              </w:rPr>
              <w:t>智能无人飞行器制造行业</w:t>
            </w:r>
            <w:r>
              <w:rPr>
                <w:rFonts w:ascii="仿宋" w:hAnsi="仿宋" w:eastAsia="仿宋" w:cs="宋体"/>
                <w:sz w:val="20"/>
                <w:szCs w:val="20"/>
              </w:rPr>
              <w:t>小类中。</w:t>
            </w:r>
          </w:p>
        </w:tc>
        <w:tc>
          <w:tcPr>
            <w:tcW w:w="1393" w:type="dxa"/>
            <w:tcBorders>
              <w:top w:val="nil"/>
              <w:left w:val="single" w:color="auto" w:sz="4" w:space="0"/>
              <w:right w:val="nil"/>
            </w:tcBorders>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3963</w:t>
            </w:r>
            <w:r>
              <w:rPr>
                <w:rFonts w:ascii="仿宋" w:hAnsi="仿宋" w:eastAsia="仿宋" w:cs="宋体"/>
                <w:sz w:val="20"/>
                <w:szCs w:val="20"/>
              </w:rPr>
              <w:t>*</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4" w:space="0"/>
              <w:right w:val="single" w:color="auto" w:sz="4" w:space="0"/>
            </w:tcBorders>
            <w:noWrap/>
            <w:vAlign w:val="center"/>
          </w:tcPr>
          <w:p>
            <w:pPr>
              <w:widowControl/>
              <w:spacing w:line="120" w:lineRule="auto"/>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nil"/>
            </w:tcBorders>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0833</w:t>
            </w:r>
          </w:p>
        </w:tc>
        <w:tc>
          <w:tcPr>
            <w:tcW w:w="3846"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仿宋" w:hAnsi="仿宋" w:eastAsia="仿宋" w:cs="宋体"/>
                <w:sz w:val="20"/>
                <w:szCs w:val="20"/>
              </w:rPr>
            </w:pPr>
            <w:r>
              <w:rPr>
                <w:rFonts w:hint="eastAsia" w:ascii="仿宋" w:hAnsi="仿宋" w:eastAsia="仿宋" w:cs="宋体"/>
                <w:sz w:val="20"/>
                <w:szCs w:val="20"/>
              </w:rPr>
              <w:t xml:space="preserve">    幻灯及投影设备制造</w:t>
            </w:r>
          </w:p>
        </w:tc>
        <w:tc>
          <w:tcPr>
            <w:tcW w:w="6844" w:type="dxa"/>
            <w:tcBorders>
              <w:top w:val="nil"/>
              <w:left w:val="nil"/>
              <w:bottom w:val="single" w:color="auto" w:sz="4" w:space="0"/>
              <w:right w:val="nil"/>
            </w:tcBorders>
            <w:vAlign w:val="center"/>
          </w:tcPr>
          <w:p>
            <w:pPr>
              <w:widowControl/>
              <w:rPr>
                <w:rFonts w:ascii="仿宋" w:hAnsi="仿宋" w:eastAsia="仿宋" w:cs="宋体"/>
                <w:sz w:val="20"/>
                <w:szCs w:val="20"/>
              </w:rPr>
            </w:pPr>
            <w:r>
              <w:rPr>
                <w:rFonts w:hint="eastAsia" w:ascii="仿宋" w:hAnsi="仿宋" w:eastAsia="仿宋" w:cs="宋体"/>
                <w:sz w:val="20"/>
                <w:szCs w:val="20"/>
              </w:rPr>
              <w:t>指通过媒体将在电子成像器件上的文字图像、胶片上的文字图像、纸张上的文字图像及实物投射到银幕上的各种设备、器材及零配件的制造。</w:t>
            </w:r>
          </w:p>
        </w:tc>
        <w:tc>
          <w:tcPr>
            <w:tcW w:w="1393" w:type="dxa"/>
            <w:tcBorders>
              <w:top w:val="nil"/>
              <w:left w:val="single" w:color="auto" w:sz="4" w:space="0"/>
              <w:bottom w:val="single" w:color="auto" w:sz="4" w:space="0"/>
              <w:right w:val="nil"/>
            </w:tcBorders>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3472</w:t>
            </w:r>
          </w:p>
        </w:tc>
      </w:tr>
      <w:tr>
        <w:tblPrEx>
          <w:tblCellMar>
            <w:top w:w="0" w:type="dxa"/>
            <w:left w:w="108" w:type="dxa"/>
            <w:bottom w:w="0" w:type="dxa"/>
            <w:right w:w="108" w:type="dxa"/>
          </w:tblCellMar>
        </w:tblPrEx>
        <w:trPr>
          <w:trHeight w:val="953" w:hRule="atLeast"/>
        </w:trPr>
        <w:tc>
          <w:tcPr>
            <w:tcW w:w="575" w:type="dxa"/>
            <w:tcBorders>
              <w:top w:val="single" w:color="auto" w:sz="4" w:space="0"/>
              <w:left w:val="nil"/>
              <w:right w:val="nil"/>
            </w:tcBorders>
            <w:noWrap/>
            <w:vAlign w:val="center"/>
          </w:tcPr>
          <w:p>
            <w:pPr>
              <w:widowControl/>
              <w:spacing w:line="360" w:lineRule="auto"/>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0834</w:t>
            </w:r>
          </w:p>
        </w:tc>
        <w:tc>
          <w:tcPr>
            <w:tcW w:w="3846" w:type="dxa"/>
            <w:tcBorders>
              <w:top w:val="single" w:color="auto" w:sz="4" w:space="0"/>
              <w:left w:val="single" w:color="auto" w:sz="4" w:space="0"/>
              <w:right w:val="single" w:color="auto" w:sz="4" w:space="0"/>
            </w:tcBorders>
            <w:noWrap/>
            <w:vAlign w:val="center"/>
          </w:tcPr>
          <w:p>
            <w:pPr>
              <w:widowControl/>
              <w:spacing w:line="360" w:lineRule="auto"/>
              <w:jc w:val="left"/>
              <w:rPr>
                <w:rFonts w:ascii="仿宋" w:hAnsi="仿宋" w:eastAsia="仿宋" w:cs="宋体"/>
                <w:sz w:val="20"/>
                <w:szCs w:val="20"/>
              </w:rPr>
            </w:pPr>
            <w:r>
              <w:rPr>
                <w:rFonts w:hint="eastAsia" w:ascii="仿宋" w:hAnsi="仿宋" w:eastAsia="仿宋" w:cs="宋体"/>
                <w:sz w:val="20"/>
                <w:szCs w:val="20"/>
              </w:rPr>
              <w:t xml:space="preserve">    照相机及器材制造</w:t>
            </w:r>
          </w:p>
        </w:tc>
        <w:tc>
          <w:tcPr>
            <w:tcW w:w="6844" w:type="dxa"/>
            <w:tcBorders>
              <w:top w:val="single" w:color="auto" w:sz="4" w:space="0"/>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指各种类型或用途的照相机的制造。包括用以制备印刷板，用于水下或空中照相的照相机制造，以及照相机用闪光装置、摄影暗室装置和零件的制造。</w:t>
            </w:r>
          </w:p>
        </w:tc>
        <w:tc>
          <w:tcPr>
            <w:tcW w:w="1393" w:type="dxa"/>
            <w:tcBorders>
              <w:top w:val="single" w:color="auto" w:sz="4" w:space="0"/>
              <w:left w:val="single" w:color="auto" w:sz="4" w:space="0"/>
              <w:right w:val="nil"/>
            </w:tcBorders>
            <w:noWrap/>
            <w:vAlign w:val="center"/>
          </w:tcPr>
          <w:p>
            <w:pPr>
              <w:widowControl/>
              <w:spacing w:line="360" w:lineRule="auto"/>
              <w:jc w:val="center"/>
              <w:rPr>
                <w:rFonts w:ascii="仿宋" w:hAnsi="仿宋" w:eastAsia="仿宋" w:cs="宋体"/>
                <w:sz w:val="20"/>
                <w:szCs w:val="20"/>
              </w:rPr>
            </w:pPr>
            <w:r>
              <w:rPr>
                <w:rFonts w:hint="eastAsia" w:ascii="仿宋" w:hAnsi="仿宋" w:eastAsia="仿宋" w:cs="宋体"/>
                <w:sz w:val="20"/>
                <w:szCs w:val="20"/>
              </w:rPr>
              <w:t>3473</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083</w:t>
            </w:r>
            <w:r>
              <w:rPr>
                <w:rFonts w:ascii="仿宋" w:hAnsi="仿宋" w:eastAsia="仿宋" w:cs="宋体"/>
                <w:sz w:val="20"/>
                <w:szCs w:val="20"/>
              </w:rPr>
              <w:t>5</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照相器材零售</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指照相器材专门零售。</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5248</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084</w:t>
            </w:r>
          </w:p>
        </w:tc>
        <w:tc>
          <w:tcPr>
            <w:tcW w:w="720" w:type="dxa"/>
            <w:tcBorders>
              <w:left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演艺设备制造及销售</w:t>
            </w:r>
          </w:p>
        </w:tc>
        <w:tc>
          <w:tcPr>
            <w:tcW w:w="6844" w:type="dxa"/>
            <w:tcBorders>
              <w:left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0841</w:t>
            </w:r>
          </w:p>
        </w:tc>
        <w:tc>
          <w:tcPr>
            <w:tcW w:w="3846" w:type="dxa"/>
            <w:tcBorders>
              <w:left w:val="single" w:color="auto" w:sz="4" w:space="0"/>
              <w:bottom w:val="nil"/>
              <w:right w:val="single" w:color="auto" w:sz="4" w:space="0"/>
            </w:tcBorders>
            <w:noWrap/>
            <w:vAlign w:val="center"/>
          </w:tcPr>
          <w:p>
            <w:pPr>
              <w:widowControl/>
              <w:ind w:firstLine="100" w:firstLineChars="50"/>
              <w:jc w:val="left"/>
              <w:rPr>
                <w:rFonts w:ascii="仿宋" w:hAnsi="仿宋" w:eastAsia="仿宋" w:cs="宋体"/>
                <w:sz w:val="20"/>
                <w:szCs w:val="20"/>
              </w:rPr>
            </w:pPr>
            <w:r>
              <w:rPr>
                <w:rFonts w:hint="eastAsia" w:ascii="仿宋" w:hAnsi="仿宋" w:eastAsia="仿宋" w:cs="宋体"/>
                <w:sz w:val="20"/>
                <w:szCs w:val="20"/>
              </w:rPr>
              <w:t xml:space="preserve">   舞台及场地用灯制造</w:t>
            </w:r>
          </w:p>
        </w:tc>
        <w:tc>
          <w:tcPr>
            <w:tcW w:w="6844" w:type="dxa"/>
            <w:tcBorders>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指演出舞台、演出场地、运动场地、大型活动场地用灯制造。</w:t>
            </w: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3873</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084</w:t>
            </w:r>
            <w:r>
              <w:rPr>
                <w:rFonts w:ascii="仿宋" w:hAnsi="仿宋" w:eastAsia="仿宋" w:cs="宋体"/>
                <w:sz w:val="20"/>
                <w:szCs w:val="20"/>
              </w:rPr>
              <w:t>2</w:t>
            </w:r>
          </w:p>
        </w:tc>
        <w:tc>
          <w:tcPr>
            <w:tcW w:w="3846" w:type="dxa"/>
            <w:tcBorders>
              <w:top w:val="nil"/>
              <w:left w:val="single" w:color="auto" w:sz="4" w:space="0"/>
              <w:bottom w:val="nil"/>
              <w:right w:val="single" w:color="auto" w:sz="4" w:space="0"/>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w:t>
            </w:r>
            <w:r>
              <w:rPr>
                <w:rFonts w:ascii="仿宋" w:hAnsi="仿宋" w:eastAsia="仿宋" w:cs="宋体"/>
                <w:sz w:val="20"/>
                <w:szCs w:val="20"/>
              </w:rPr>
              <w:t xml:space="preserve"> </w:t>
            </w:r>
            <w:r>
              <w:rPr>
                <w:rFonts w:hint="eastAsia" w:ascii="仿宋" w:hAnsi="仿宋" w:eastAsia="仿宋" w:cs="宋体"/>
                <w:sz w:val="20"/>
                <w:szCs w:val="20"/>
              </w:rPr>
              <w:t xml:space="preserve">  舞台照明设备批发</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仅指各类舞台照明设备的批发。该小类包含在电气设备批发行业小类中。</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5175*</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游乐游艺设备制造</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0851</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露天游乐场所游乐设备制造</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指主要安装在公园、游乐园、水上乐园、儿童乐园等露天游乐场所的电动及非电动游乐设备和游艺器材的制造。</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2461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0852</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游艺用品及室内游艺器材制造</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指主要供室内、桌上等游艺及娱乐场所使用的游乐设备、游艺器材和游艺娱乐用品，以及主要安装在室内游乐场所的电子游乐设备的制造。</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2462</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0853</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其他娱乐用品制造</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指其他未列明的娱乐用品制造。</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2469</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w:t>
            </w:r>
          </w:p>
        </w:tc>
        <w:tc>
          <w:tcPr>
            <w:tcW w:w="720" w:type="dxa"/>
            <w:tcBorders>
              <w:top w:val="nil"/>
              <w:left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right w:val="single" w:color="auto" w:sz="4" w:space="0"/>
            </w:tcBorders>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乐器制造及销售</w:t>
            </w:r>
          </w:p>
        </w:tc>
        <w:tc>
          <w:tcPr>
            <w:tcW w:w="6844" w:type="dxa"/>
            <w:tcBorders>
              <w:top w:val="nil"/>
              <w:left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0861</w:t>
            </w:r>
          </w:p>
        </w:tc>
        <w:tc>
          <w:tcPr>
            <w:tcW w:w="384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中乐器制造</w:t>
            </w:r>
          </w:p>
        </w:tc>
        <w:tc>
          <w:tcPr>
            <w:tcW w:w="6844" w:type="dxa"/>
            <w:tcBorders>
              <w:top w:val="nil"/>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指各种中乐器的制造活动。</w:t>
            </w:r>
          </w:p>
        </w:tc>
        <w:tc>
          <w:tcPr>
            <w:tcW w:w="1393" w:type="dxa"/>
            <w:tcBorders>
              <w:top w:val="nil"/>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2421</w:t>
            </w:r>
          </w:p>
        </w:tc>
      </w:tr>
      <w:tr>
        <w:tblPrEx>
          <w:tblCellMar>
            <w:top w:w="0" w:type="dxa"/>
            <w:left w:w="108" w:type="dxa"/>
            <w:bottom w:w="0" w:type="dxa"/>
            <w:right w:w="108" w:type="dxa"/>
          </w:tblCellMar>
        </w:tblPrEx>
        <w:trPr>
          <w:trHeight w:val="499" w:hRule="atLeas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0862</w:t>
            </w: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西乐器制造</w:t>
            </w:r>
          </w:p>
        </w:tc>
        <w:tc>
          <w:tcPr>
            <w:tcW w:w="6844" w:type="dxa"/>
            <w:tcBorders>
              <w:top w:val="single" w:color="auto" w:sz="4" w:space="0"/>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指各种西乐器的制造活动。</w:t>
            </w:r>
          </w:p>
        </w:tc>
        <w:tc>
          <w:tcPr>
            <w:tcW w:w="1393" w:type="dxa"/>
            <w:tcBorders>
              <w:top w:val="single" w:color="auto" w:sz="4" w:space="0"/>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2422</w:t>
            </w:r>
          </w:p>
        </w:tc>
      </w:tr>
      <w:tr>
        <w:tblPrEx>
          <w:tblCellMar>
            <w:top w:w="0" w:type="dxa"/>
            <w:left w:w="108" w:type="dxa"/>
            <w:bottom w:w="0" w:type="dxa"/>
            <w:right w:w="108" w:type="dxa"/>
          </w:tblCellMar>
        </w:tblPrEx>
        <w:trPr>
          <w:trHeight w:val="624" w:hRule="exac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0863</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电子乐器制造</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指各种电子乐器的制造活动。</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2423</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0864</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其他乐器及零件制造</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指其他未列明的乐器、乐器零件及配套产品的制造。</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2429</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0865</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乐器批发</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指各种乐器的批发活动。</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5147</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0866</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乐器零售</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指各种乐器的零售活动。</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5247</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w:t>
            </w: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文化消费终端生产</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文具制造及销售</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0911</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文具制造</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指办公、学习等使用的各种文具的制造。</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2411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0912</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文具用品批发</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指文具用品的批发活动。</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0913</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文具用品零售</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指文具用品的零售活动。</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092</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笔墨制造</w:t>
            </w:r>
          </w:p>
        </w:tc>
        <w:tc>
          <w:tcPr>
            <w:tcW w:w="6844" w:type="dxa"/>
            <w:tcBorders>
              <w:top w:val="nil"/>
              <w:left w:val="nil"/>
              <w:bottom w:val="nil"/>
              <w:right w:val="nil"/>
            </w:tcBorders>
            <w:vAlign w:val="center"/>
          </w:tcPr>
          <w:p>
            <w:pPr>
              <w:widowControl/>
              <w:jc w:val="left"/>
              <w:rPr>
                <w:rFonts w:ascii="仿宋" w:hAnsi="仿宋" w:eastAsia="仿宋" w:cs="宋体"/>
                <w:b/>
                <w:bCs/>
                <w:sz w:val="20"/>
                <w:szCs w:val="20"/>
              </w:rPr>
            </w:pP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0921</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笔的制造</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指用于学习、办公或绘画等用途的各种笔制品的制造。</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2412</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0922</w:t>
            </w:r>
          </w:p>
        </w:tc>
        <w:tc>
          <w:tcPr>
            <w:tcW w:w="3846" w:type="dxa"/>
            <w:tcBorders>
              <w:top w:val="nil"/>
              <w:left w:val="single" w:color="auto" w:sz="4" w:space="0"/>
              <w:bottom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墨水、墨汁制造</w:t>
            </w:r>
          </w:p>
        </w:tc>
        <w:tc>
          <w:tcPr>
            <w:tcW w:w="6844" w:type="dxa"/>
            <w:tcBorders>
              <w:top w:val="nil"/>
              <w:left w:val="nil"/>
              <w:bottom w:val="single" w:color="auto" w:sz="4" w:space="0"/>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指各种墨水、墨汁及墨汁类似品的制造活动。</w:t>
            </w:r>
          </w:p>
        </w:tc>
        <w:tc>
          <w:tcPr>
            <w:tcW w:w="1393" w:type="dxa"/>
            <w:tcBorders>
              <w:top w:val="nil"/>
              <w:left w:val="single" w:color="auto" w:sz="4" w:space="0"/>
              <w:bottom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2414</w:t>
            </w:r>
          </w:p>
        </w:tc>
      </w:tr>
      <w:tr>
        <w:tblPrEx>
          <w:tblCellMar>
            <w:top w:w="0" w:type="dxa"/>
            <w:left w:w="108" w:type="dxa"/>
            <w:bottom w:w="0" w:type="dxa"/>
            <w:right w:w="108" w:type="dxa"/>
          </w:tblCellMar>
        </w:tblPrEx>
        <w:trPr>
          <w:trHeight w:val="340" w:hRule="exact"/>
        </w:trPr>
        <w:tc>
          <w:tcPr>
            <w:tcW w:w="575"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578" w:type="dxa"/>
            <w:tcBorders>
              <w:top w:val="single" w:color="auto" w:sz="4" w:space="0"/>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093</w:t>
            </w:r>
          </w:p>
        </w:tc>
        <w:tc>
          <w:tcPr>
            <w:tcW w:w="720" w:type="dxa"/>
            <w:tcBorders>
              <w:top w:val="single" w:color="auto" w:sz="4" w:space="0"/>
              <w:left w:val="nil"/>
              <w:right w:val="nil"/>
            </w:tcBorders>
            <w:noWrap/>
            <w:vAlign w:val="center"/>
          </w:tcPr>
          <w:p>
            <w:pPr>
              <w:widowControl/>
              <w:jc w:val="center"/>
              <w:rPr>
                <w:rFonts w:ascii="仿宋" w:hAnsi="仿宋" w:eastAsia="仿宋" w:cs="宋体"/>
                <w:sz w:val="20"/>
                <w:szCs w:val="20"/>
              </w:rPr>
            </w:pPr>
          </w:p>
        </w:tc>
        <w:tc>
          <w:tcPr>
            <w:tcW w:w="3846" w:type="dxa"/>
            <w:tcBorders>
              <w:top w:val="single" w:color="auto" w:sz="4" w:space="0"/>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玩具制造</w:t>
            </w:r>
          </w:p>
        </w:tc>
        <w:tc>
          <w:tcPr>
            <w:tcW w:w="6844" w:type="dxa"/>
            <w:tcBorders>
              <w:top w:val="single" w:color="auto" w:sz="4" w:space="0"/>
              <w:left w:val="nil"/>
              <w:right w:val="nil"/>
            </w:tcBorders>
            <w:vAlign w:val="center"/>
          </w:tcPr>
          <w:p>
            <w:pPr>
              <w:widowControl/>
              <w:jc w:val="left"/>
              <w:rPr>
                <w:rFonts w:ascii="仿宋" w:hAnsi="仿宋" w:eastAsia="仿宋" w:cs="宋体"/>
                <w:b/>
                <w:bCs/>
                <w:sz w:val="20"/>
                <w:szCs w:val="20"/>
              </w:rPr>
            </w:pPr>
          </w:p>
        </w:tc>
        <w:tc>
          <w:tcPr>
            <w:tcW w:w="1393" w:type="dxa"/>
            <w:tcBorders>
              <w:top w:val="single" w:color="auto" w:sz="4" w:space="0"/>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093</w:t>
            </w:r>
            <w:r>
              <w:rPr>
                <w:rFonts w:ascii="仿宋" w:hAnsi="仿宋" w:eastAsia="仿宋" w:cs="宋体"/>
                <w:sz w:val="20"/>
                <w:szCs w:val="20"/>
              </w:rPr>
              <w:t>0</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玩具制造</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指以儿童为主要使用者，用于玩耍、智力开发等娱乐器具的制造。 </w:t>
            </w:r>
          </w:p>
        </w:tc>
        <w:tc>
          <w:tcPr>
            <w:tcW w:w="1393" w:type="dxa"/>
            <w:tcBorders>
              <w:left w:val="single" w:color="auto" w:sz="4" w:space="0"/>
              <w:right w:val="nil"/>
            </w:tcBorders>
            <w:vAlign w:val="center"/>
          </w:tcPr>
          <w:p>
            <w:pPr>
              <w:widowControl/>
              <w:jc w:val="center"/>
              <w:rPr>
                <w:rFonts w:ascii="仿宋" w:hAnsi="仿宋" w:eastAsia="仿宋" w:cs="宋体"/>
                <w:sz w:val="20"/>
                <w:szCs w:val="20"/>
              </w:rPr>
            </w:pPr>
            <w:r>
              <w:rPr>
                <w:rFonts w:hint="eastAsia" w:ascii="仿宋" w:hAnsi="仿宋" w:eastAsia="仿宋" w:cs="宋体"/>
                <w:sz w:val="20"/>
                <w:szCs w:val="20"/>
              </w:rPr>
              <w:t>2451-2456</w:t>
            </w:r>
          </w:p>
          <w:p>
            <w:pPr>
              <w:widowControl/>
              <w:jc w:val="center"/>
              <w:rPr>
                <w:rFonts w:ascii="仿宋" w:hAnsi="仿宋" w:eastAsia="仿宋" w:cs="宋体"/>
                <w:sz w:val="20"/>
                <w:szCs w:val="20"/>
              </w:rPr>
            </w:pPr>
            <w:r>
              <w:rPr>
                <w:rFonts w:hint="eastAsia" w:ascii="仿宋" w:hAnsi="仿宋" w:eastAsia="仿宋" w:cs="宋体"/>
                <w:sz w:val="20"/>
                <w:szCs w:val="20"/>
              </w:rPr>
              <w:t>2459</w:t>
            </w:r>
          </w:p>
        </w:tc>
      </w:tr>
      <w:tr>
        <w:tblPrEx>
          <w:tblCellMar>
            <w:top w:w="0" w:type="dxa"/>
            <w:left w:w="108" w:type="dxa"/>
            <w:bottom w:w="0" w:type="dxa"/>
            <w:right w:w="108" w:type="dxa"/>
          </w:tblCellMar>
        </w:tblPrEx>
        <w:trPr>
          <w:trHeight w:val="340" w:hRule="exac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094</w:t>
            </w:r>
          </w:p>
        </w:tc>
        <w:tc>
          <w:tcPr>
            <w:tcW w:w="720" w:type="dxa"/>
            <w:tcBorders>
              <w:left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节庆用品制造</w:t>
            </w:r>
          </w:p>
        </w:tc>
        <w:tc>
          <w:tcPr>
            <w:tcW w:w="6844" w:type="dxa"/>
            <w:tcBorders>
              <w:left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340" w:hRule="exact"/>
        </w:trPr>
        <w:tc>
          <w:tcPr>
            <w:tcW w:w="575" w:type="dxa"/>
            <w:tcBorders>
              <w:left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094</w:t>
            </w:r>
            <w:r>
              <w:rPr>
                <w:rFonts w:ascii="仿宋" w:hAnsi="仿宋" w:eastAsia="仿宋" w:cs="宋体"/>
                <w:sz w:val="20"/>
                <w:szCs w:val="20"/>
              </w:rPr>
              <w:t>0</w:t>
            </w:r>
          </w:p>
        </w:tc>
        <w:tc>
          <w:tcPr>
            <w:tcW w:w="3846" w:type="dxa"/>
            <w:tcBorders>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焰火、鞭炮产品制造</w:t>
            </w:r>
          </w:p>
        </w:tc>
        <w:tc>
          <w:tcPr>
            <w:tcW w:w="6844" w:type="dxa"/>
            <w:tcBorders>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指节日、庆典用焰火及民用烟花、鞭炮等产品的制造。</w:t>
            </w:r>
          </w:p>
        </w:tc>
        <w:tc>
          <w:tcPr>
            <w:tcW w:w="1393" w:type="dxa"/>
            <w:tcBorders>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2672</w:t>
            </w:r>
          </w:p>
        </w:tc>
      </w:tr>
      <w:tr>
        <w:tblPrEx>
          <w:tblCellMar>
            <w:top w:w="0" w:type="dxa"/>
            <w:left w:w="108" w:type="dxa"/>
            <w:bottom w:w="0" w:type="dxa"/>
            <w:right w:w="108" w:type="dxa"/>
          </w:tblCellMar>
        </w:tblPrEx>
        <w:trPr>
          <w:trHeight w:val="340" w:hRule="exact"/>
        </w:trPr>
        <w:tc>
          <w:tcPr>
            <w:tcW w:w="575" w:type="dxa"/>
            <w:tcBorders>
              <w:left w:val="nil"/>
              <w:bottom w:val="nil"/>
              <w:right w:val="nil"/>
            </w:tcBorders>
            <w:noWrap/>
            <w:vAlign w:val="center"/>
          </w:tcPr>
          <w:p>
            <w:pPr>
              <w:widowControl/>
              <w:jc w:val="center"/>
              <w:rPr>
                <w:rFonts w:ascii="仿宋" w:hAnsi="仿宋" w:eastAsia="仿宋" w:cs="宋体"/>
                <w:sz w:val="20"/>
                <w:szCs w:val="20"/>
              </w:rPr>
            </w:pPr>
          </w:p>
        </w:tc>
        <w:tc>
          <w:tcPr>
            <w:tcW w:w="578" w:type="dxa"/>
            <w:tcBorders>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w:t>
            </w:r>
          </w:p>
        </w:tc>
        <w:tc>
          <w:tcPr>
            <w:tcW w:w="720" w:type="dxa"/>
            <w:tcBorders>
              <w:left w:val="nil"/>
              <w:bottom w:val="nil"/>
              <w:right w:val="nil"/>
            </w:tcBorders>
            <w:noWrap/>
            <w:vAlign w:val="center"/>
          </w:tcPr>
          <w:p>
            <w:pPr>
              <w:widowControl/>
              <w:jc w:val="center"/>
              <w:rPr>
                <w:rFonts w:ascii="仿宋" w:hAnsi="仿宋" w:eastAsia="仿宋" w:cs="宋体"/>
                <w:sz w:val="20"/>
                <w:szCs w:val="20"/>
              </w:rPr>
            </w:pPr>
          </w:p>
        </w:tc>
        <w:tc>
          <w:tcPr>
            <w:tcW w:w="3846" w:type="dxa"/>
            <w:tcBorders>
              <w:left w:val="single" w:color="auto" w:sz="4" w:space="0"/>
              <w:bottom w:val="nil"/>
              <w:right w:val="single" w:color="auto" w:sz="4" w:space="0"/>
            </w:tcBorders>
            <w:noWrap/>
            <w:vAlign w:val="center"/>
          </w:tcPr>
          <w:p>
            <w:pPr>
              <w:widowControl/>
              <w:jc w:val="left"/>
              <w:rPr>
                <w:rFonts w:ascii="仿宋" w:hAnsi="仿宋" w:eastAsia="仿宋" w:cs="宋体"/>
                <w:b/>
                <w:bCs/>
                <w:sz w:val="20"/>
                <w:szCs w:val="20"/>
              </w:rPr>
            </w:pPr>
            <w:r>
              <w:rPr>
                <w:rFonts w:hint="eastAsia" w:ascii="仿宋" w:hAnsi="仿宋" w:eastAsia="仿宋" w:cs="宋体"/>
                <w:b/>
                <w:bCs/>
                <w:sz w:val="20"/>
                <w:szCs w:val="20"/>
              </w:rPr>
              <w:t xml:space="preserve">  信息服务终端制造及销售</w:t>
            </w:r>
          </w:p>
        </w:tc>
        <w:tc>
          <w:tcPr>
            <w:tcW w:w="6844" w:type="dxa"/>
            <w:tcBorders>
              <w:left w:val="nil"/>
              <w:bottom w:val="nil"/>
              <w:right w:val="nil"/>
            </w:tcBorders>
            <w:vAlign w:val="center"/>
          </w:tcPr>
          <w:p>
            <w:pPr>
              <w:widowControl/>
              <w:jc w:val="left"/>
              <w:rPr>
                <w:rFonts w:ascii="仿宋" w:hAnsi="仿宋" w:eastAsia="仿宋" w:cs="宋体"/>
                <w:b/>
                <w:bCs/>
                <w:sz w:val="20"/>
                <w:szCs w:val="20"/>
              </w:rPr>
            </w:pPr>
          </w:p>
        </w:tc>
        <w:tc>
          <w:tcPr>
            <w:tcW w:w="1393" w:type="dxa"/>
            <w:tcBorders>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0951</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电视机制造</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指非专业用电视机制造。包括彩色、黑白电视机以及其他视频设备（移动电视机和其他未列明视频设备）的制造。</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3951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0952</w:t>
            </w:r>
          </w:p>
        </w:tc>
        <w:tc>
          <w:tcPr>
            <w:tcW w:w="3846" w:type="dxa"/>
            <w:tcBorders>
              <w:top w:val="nil"/>
              <w:left w:val="single" w:color="auto" w:sz="4" w:space="0"/>
              <w:bottom w:val="nil"/>
              <w:right w:val="single" w:color="auto" w:sz="4" w:space="0"/>
            </w:tcBorders>
            <w:noWrap/>
            <w:vAlign w:val="center"/>
          </w:tcPr>
          <w:p>
            <w:pPr>
              <w:widowControl/>
              <w:ind w:firstLine="400" w:firstLineChars="200"/>
              <w:jc w:val="left"/>
              <w:rPr>
                <w:rFonts w:ascii="仿宋" w:hAnsi="仿宋" w:eastAsia="仿宋" w:cs="宋体"/>
                <w:sz w:val="20"/>
                <w:szCs w:val="20"/>
              </w:rPr>
            </w:pPr>
            <w:r>
              <w:rPr>
                <w:rFonts w:hint="eastAsia" w:ascii="仿宋" w:hAnsi="仿宋" w:eastAsia="仿宋" w:cs="宋体"/>
                <w:sz w:val="20"/>
                <w:szCs w:val="20"/>
              </w:rPr>
              <w:t>音响设备制造</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指非专业用音箱、耳机、组合音响、功放、无线电收音机、收录音机等音响设备的制造。</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3952</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0953</w:t>
            </w:r>
          </w:p>
        </w:tc>
        <w:tc>
          <w:tcPr>
            <w:tcW w:w="3846" w:type="dxa"/>
            <w:tcBorders>
              <w:top w:val="nil"/>
              <w:left w:val="single" w:color="auto" w:sz="4" w:space="0"/>
              <w:bottom w:val="nil"/>
              <w:right w:val="single" w:color="auto" w:sz="4" w:space="0"/>
            </w:tcBorders>
            <w:noWrap/>
            <w:vAlign w:val="center"/>
          </w:tcPr>
          <w:p>
            <w:pPr>
              <w:widowControl/>
              <w:ind w:firstLine="400" w:firstLineChars="200"/>
              <w:jc w:val="left"/>
              <w:rPr>
                <w:rFonts w:ascii="仿宋" w:hAnsi="仿宋" w:eastAsia="仿宋" w:cs="宋体"/>
                <w:sz w:val="20"/>
                <w:szCs w:val="20"/>
              </w:rPr>
            </w:pPr>
            <w:r>
              <w:rPr>
                <w:rFonts w:hint="eastAsia" w:ascii="仿宋" w:hAnsi="仿宋" w:eastAsia="仿宋" w:cs="宋体"/>
                <w:sz w:val="20"/>
                <w:szCs w:val="20"/>
              </w:rPr>
              <w:t>可穿戴智能文化设备制造</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指由用户穿戴和控制，并且自然、持续地运行和交互的个人移动计算文化设备产品的制造。该小类包含在可穿戴智能设备制造行业小类中。</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3961*</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0954</w:t>
            </w:r>
          </w:p>
        </w:tc>
        <w:tc>
          <w:tcPr>
            <w:tcW w:w="3846" w:type="dxa"/>
            <w:tcBorders>
              <w:top w:val="nil"/>
              <w:left w:val="single" w:color="auto" w:sz="4" w:space="0"/>
              <w:bottom w:val="nil"/>
              <w:right w:val="single" w:color="auto" w:sz="4" w:space="0"/>
            </w:tcBorders>
            <w:noWrap/>
            <w:vAlign w:val="center"/>
          </w:tcPr>
          <w:p>
            <w:pPr>
              <w:widowControl/>
              <w:ind w:firstLine="400" w:firstLineChars="200"/>
              <w:jc w:val="left"/>
              <w:rPr>
                <w:rFonts w:ascii="仿宋" w:hAnsi="仿宋" w:eastAsia="仿宋" w:cs="宋体"/>
                <w:sz w:val="20"/>
                <w:szCs w:val="20"/>
              </w:rPr>
            </w:pPr>
            <w:r>
              <w:rPr>
                <w:rFonts w:hint="eastAsia" w:ascii="仿宋" w:hAnsi="仿宋" w:eastAsia="仿宋" w:cs="宋体"/>
                <w:sz w:val="20"/>
                <w:szCs w:val="20"/>
              </w:rPr>
              <w:t>其他智能文化消费设备制造</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指虚拟现实设备制造活动。该小类包含在其他智能消费设备制造行业小类中。</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3969*</w:t>
            </w:r>
          </w:p>
        </w:tc>
      </w:tr>
      <w:tr>
        <w:tblPrEx>
          <w:tblCellMar>
            <w:top w:w="0" w:type="dxa"/>
            <w:left w:w="108" w:type="dxa"/>
            <w:bottom w:w="0" w:type="dxa"/>
            <w:right w:w="108" w:type="dxa"/>
          </w:tblCellMar>
        </w:tblPrEx>
        <w:trPr>
          <w:trHeight w:val="340" w:hRule="exac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0955</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家用视听设备批发</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指家用视听设备批发活动。</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5137</w:t>
            </w:r>
          </w:p>
        </w:tc>
      </w:tr>
      <w:tr>
        <w:tblPrEx>
          <w:tblCellMar>
            <w:top w:w="0" w:type="dxa"/>
            <w:left w:w="108" w:type="dxa"/>
            <w:bottom w:w="0" w:type="dxa"/>
            <w:right w:w="108" w:type="dxa"/>
          </w:tblCellMar>
        </w:tblPrEx>
        <w:trPr>
          <w:trHeight w:val="499" w:hRule="atLeast"/>
        </w:trPr>
        <w:tc>
          <w:tcPr>
            <w:tcW w:w="575" w:type="dxa"/>
            <w:tcBorders>
              <w:top w:val="nil"/>
              <w:left w:val="nil"/>
              <w:bottom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nil"/>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0956</w:t>
            </w:r>
          </w:p>
        </w:tc>
        <w:tc>
          <w:tcPr>
            <w:tcW w:w="3846" w:type="dxa"/>
            <w:tcBorders>
              <w:top w:val="nil"/>
              <w:left w:val="single" w:color="auto" w:sz="4" w:space="0"/>
              <w:bottom w:val="nil"/>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家用视听设备零售</w:t>
            </w:r>
          </w:p>
        </w:tc>
        <w:tc>
          <w:tcPr>
            <w:tcW w:w="6844" w:type="dxa"/>
            <w:tcBorders>
              <w:top w:val="nil"/>
              <w:left w:val="nil"/>
              <w:bottom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指专门经营电视、音响设备、摄录像设备等的店铺零售活动。</w:t>
            </w:r>
          </w:p>
        </w:tc>
        <w:tc>
          <w:tcPr>
            <w:tcW w:w="1393" w:type="dxa"/>
            <w:tcBorders>
              <w:top w:val="nil"/>
              <w:left w:val="single" w:color="auto" w:sz="4" w:space="0"/>
              <w:bottom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5271</w:t>
            </w:r>
          </w:p>
        </w:tc>
      </w:tr>
      <w:tr>
        <w:tblPrEx>
          <w:tblCellMar>
            <w:top w:w="0" w:type="dxa"/>
            <w:left w:w="108" w:type="dxa"/>
            <w:bottom w:w="0" w:type="dxa"/>
            <w:right w:w="108" w:type="dxa"/>
          </w:tblCellMar>
        </w:tblPrEx>
        <w:trPr>
          <w:trHeight w:val="499" w:hRule="atLeast"/>
        </w:trPr>
        <w:tc>
          <w:tcPr>
            <w:tcW w:w="575" w:type="dxa"/>
            <w:tcBorders>
              <w:top w:val="nil"/>
              <w:left w:val="nil"/>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0957</w:t>
            </w:r>
          </w:p>
        </w:tc>
        <w:tc>
          <w:tcPr>
            <w:tcW w:w="3846" w:type="dxa"/>
            <w:tcBorders>
              <w:top w:val="nil"/>
              <w:left w:val="single" w:color="auto" w:sz="4"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其他文化用品批发</w:t>
            </w:r>
          </w:p>
        </w:tc>
        <w:tc>
          <w:tcPr>
            <w:tcW w:w="6844" w:type="dxa"/>
            <w:tcBorders>
              <w:top w:val="nil"/>
              <w:left w:val="nil"/>
              <w:right w:val="nil"/>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包括玩具批发服务以及玩具、游艺及娱乐用品、照相器材和其他文化娱乐用品批发和进出口。</w:t>
            </w:r>
          </w:p>
        </w:tc>
        <w:tc>
          <w:tcPr>
            <w:tcW w:w="1393" w:type="dxa"/>
            <w:tcBorders>
              <w:top w:val="nil"/>
              <w:left w:val="single" w:color="auto" w:sz="4"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5149</w:t>
            </w:r>
          </w:p>
        </w:tc>
      </w:tr>
      <w:tr>
        <w:tblPrEx>
          <w:tblCellMar>
            <w:top w:w="0" w:type="dxa"/>
            <w:left w:w="108" w:type="dxa"/>
            <w:bottom w:w="0" w:type="dxa"/>
            <w:right w:w="108" w:type="dxa"/>
          </w:tblCellMar>
        </w:tblPrEx>
        <w:trPr>
          <w:trHeight w:val="499" w:hRule="atLeast"/>
        </w:trPr>
        <w:tc>
          <w:tcPr>
            <w:tcW w:w="575" w:type="dxa"/>
            <w:tcBorders>
              <w:top w:val="nil"/>
              <w:left w:val="nil"/>
              <w:bottom w:val="single" w:color="auto" w:sz="12" w:space="0"/>
              <w:right w:val="nil"/>
            </w:tcBorders>
            <w:noWrap/>
            <w:vAlign w:val="center"/>
          </w:tcPr>
          <w:p>
            <w:pPr>
              <w:widowControl/>
              <w:jc w:val="center"/>
              <w:rPr>
                <w:rFonts w:ascii="仿宋" w:hAnsi="仿宋" w:eastAsia="仿宋" w:cs="宋体"/>
                <w:sz w:val="20"/>
                <w:szCs w:val="20"/>
              </w:rPr>
            </w:pPr>
          </w:p>
        </w:tc>
        <w:tc>
          <w:tcPr>
            <w:tcW w:w="578" w:type="dxa"/>
            <w:tcBorders>
              <w:top w:val="nil"/>
              <w:left w:val="single" w:color="auto" w:sz="4" w:space="0"/>
              <w:bottom w:val="single" w:color="auto" w:sz="12" w:space="0"/>
              <w:right w:val="single" w:color="auto" w:sz="4" w:space="0"/>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　</w:t>
            </w:r>
          </w:p>
        </w:tc>
        <w:tc>
          <w:tcPr>
            <w:tcW w:w="720" w:type="dxa"/>
            <w:tcBorders>
              <w:top w:val="nil"/>
              <w:left w:val="nil"/>
              <w:bottom w:val="single" w:color="auto" w:sz="12"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0958</w:t>
            </w:r>
          </w:p>
        </w:tc>
        <w:tc>
          <w:tcPr>
            <w:tcW w:w="3846" w:type="dxa"/>
            <w:tcBorders>
              <w:top w:val="nil"/>
              <w:left w:val="single" w:color="auto" w:sz="4" w:space="0"/>
              <w:bottom w:val="single" w:color="auto" w:sz="12" w:space="0"/>
              <w:right w:val="single" w:color="auto" w:sz="4" w:space="0"/>
            </w:tcBorders>
            <w:noWrap/>
            <w:vAlign w:val="center"/>
          </w:tcPr>
          <w:p>
            <w:pPr>
              <w:widowControl/>
              <w:jc w:val="left"/>
              <w:rPr>
                <w:rFonts w:ascii="仿宋" w:hAnsi="仿宋" w:eastAsia="仿宋" w:cs="宋体"/>
                <w:sz w:val="20"/>
                <w:szCs w:val="20"/>
              </w:rPr>
            </w:pPr>
            <w:r>
              <w:rPr>
                <w:rFonts w:hint="eastAsia" w:ascii="仿宋" w:hAnsi="仿宋" w:eastAsia="仿宋" w:cs="宋体"/>
                <w:sz w:val="20"/>
                <w:szCs w:val="20"/>
              </w:rPr>
              <w:t xml:space="preserve">    其他文化用品零售</w:t>
            </w:r>
          </w:p>
        </w:tc>
        <w:tc>
          <w:tcPr>
            <w:tcW w:w="6844" w:type="dxa"/>
            <w:tcBorders>
              <w:top w:val="nil"/>
              <w:left w:val="nil"/>
              <w:bottom w:val="single" w:color="auto" w:sz="12" w:space="0"/>
              <w:right w:val="single" w:color="auto" w:sz="4" w:space="0"/>
            </w:tcBorders>
            <w:vAlign w:val="center"/>
          </w:tcPr>
          <w:p>
            <w:pPr>
              <w:widowControl/>
              <w:jc w:val="left"/>
              <w:rPr>
                <w:rFonts w:ascii="仿宋" w:hAnsi="仿宋" w:eastAsia="仿宋" w:cs="宋体"/>
                <w:sz w:val="20"/>
                <w:szCs w:val="20"/>
              </w:rPr>
            </w:pPr>
            <w:r>
              <w:rPr>
                <w:rFonts w:hint="eastAsia" w:ascii="仿宋" w:hAnsi="仿宋" w:eastAsia="仿宋" w:cs="宋体"/>
                <w:sz w:val="20"/>
                <w:szCs w:val="20"/>
              </w:rPr>
              <w:t>指专门经营游艺用品及其他未列明文化用品的店铺零售活动。</w:t>
            </w:r>
          </w:p>
        </w:tc>
        <w:tc>
          <w:tcPr>
            <w:tcW w:w="1393" w:type="dxa"/>
            <w:tcBorders>
              <w:top w:val="nil"/>
              <w:left w:val="nil"/>
              <w:bottom w:val="single" w:color="auto" w:sz="12" w:space="0"/>
              <w:right w:val="nil"/>
            </w:tcBorders>
            <w:noWrap/>
            <w:vAlign w:val="center"/>
          </w:tcPr>
          <w:p>
            <w:pPr>
              <w:widowControl/>
              <w:jc w:val="center"/>
              <w:rPr>
                <w:rFonts w:ascii="仿宋" w:hAnsi="仿宋" w:eastAsia="仿宋" w:cs="宋体"/>
                <w:sz w:val="20"/>
                <w:szCs w:val="20"/>
              </w:rPr>
            </w:pPr>
            <w:r>
              <w:rPr>
                <w:rFonts w:hint="eastAsia" w:ascii="仿宋" w:hAnsi="仿宋" w:eastAsia="仿宋" w:cs="宋体"/>
                <w:sz w:val="20"/>
                <w:szCs w:val="20"/>
              </w:rPr>
              <w:t>5249</w:t>
            </w:r>
          </w:p>
        </w:tc>
      </w:tr>
      <w:tr>
        <w:tblPrEx>
          <w:tblCellMar>
            <w:top w:w="0" w:type="dxa"/>
            <w:left w:w="108" w:type="dxa"/>
            <w:bottom w:w="0" w:type="dxa"/>
            <w:right w:w="108" w:type="dxa"/>
          </w:tblCellMar>
        </w:tblPrEx>
        <w:trPr>
          <w:trHeight w:val="270" w:hRule="atLeast"/>
        </w:trPr>
        <w:tc>
          <w:tcPr>
            <w:tcW w:w="12563" w:type="dxa"/>
            <w:gridSpan w:val="5"/>
            <w:tcBorders>
              <w:top w:val="single" w:color="auto" w:sz="12" w:space="0"/>
              <w:left w:val="nil"/>
              <w:bottom w:val="nil"/>
              <w:right w:val="nil"/>
            </w:tcBorders>
            <w:noWrap/>
            <w:vAlign w:val="center"/>
          </w:tcPr>
          <w:p>
            <w:pPr>
              <w:widowControl/>
              <w:jc w:val="left"/>
              <w:rPr>
                <w:rFonts w:ascii="仿宋_GB2312" w:hAnsi="宋体" w:eastAsia="仿宋_GB2312" w:cs="宋体"/>
                <w:color w:val="000000"/>
              </w:rPr>
            </w:pPr>
            <w:r>
              <w:rPr>
                <w:rFonts w:hint="eastAsia" w:ascii="仿宋_GB2312" w:hAnsi="宋体" w:eastAsia="仿宋_GB2312" w:cs="宋体"/>
                <w:color w:val="000000"/>
              </w:rPr>
              <w:t>注：行业分类代码后标有“*”的表示该行业类别仅有部分内容属于文化及相关产业。</w:t>
            </w:r>
          </w:p>
        </w:tc>
        <w:tc>
          <w:tcPr>
            <w:tcW w:w="1393" w:type="dxa"/>
            <w:tcBorders>
              <w:top w:val="single" w:color="auto" w:sz="12" w:space="0"/>
              <w:left w:val="nil"/>
              <w:bottom w:val="nil"/>
              <w:right w:val="nil"/>
            </w:tcBorders>
            <w:noWrap/>
            <w:vAlign w:val="center"/>
          </w:tcPr>
          <w:p>
            <w:pPr>
              <w:widowControl/>
              <w:jc w:val="left"/>
              <w:rPr>
                <w:rFonts w:ascii="仿宋_GB2312" w:hAnsi="宋体" w:eastAsia="仿宋_GB2312" w:cs="宋体"/>
                <w:color w:val="000000"/>
              </w:rPr>
            </w:pPr>
          </w:p>
        </w:tc>
      </w:tr>
    </w:tbl>
    <w:p>
      <w:pPr>
        <w:spacing w:line="600" w:lineRule="exact"/>
        <w:rPr>
          <w:rFonts w:ascii="楷体_GB2312" w:eastAsia="楷体_GB2312"/>
          <w:b/>
          <w:bCs/>
          <w:spacing w:val="8"/>
          <w:sz w:val="28"/>
          <w:szCs w:val="28"/>
        </w:rPr>
      </w:pPr>
      <w:r>
        <w:rPr>
          <w:rFonts w:hint="eastAsia" w:ascii="楷体_GB2312" w:eastAsia="楷体_GB2312"/>
          <w:b/>
          <w:bCs/>
          <w:spacing w:val="8"/>
          <w:sz w:val="28"/>
          <w:szCs w:val="28"/>
        </w:rPr>
        <w:t>表2</w:t>
      </w:r>
      <w:r>
        <w:rPr>
          <w:rFonts w:ascii="楷体_GB2312" w:eastAsia="楷体_GB2312"/>
          <w:b/>
          <w:bCs/>
          <w:spacing w:val="8"/>
          <w:sz w:val="28"/>
          <w:szCs w:val="28"/>
        </w:rPr>
        <w:t xml:space="preserve">                        </w:t>
      </w:r>
      <w:r>
        <w:rPr>
          <w:rFonts w:hint="eastAsia" w:ascii="方正小标宋_GBK" w:hAnsi="宋体" w:eastAsia="方正小标宋_GBK" w:cs="宋体"/>
          <w:color w:val="000000"/>
          <w:sz w:val="32"/>
          <w:szCs w:val="32"/>
        </w:rPr>
        <w:t>带“*”行业分类文化生产活动内容的说明</w:t>
      </w:r>
    </w:p>
    <w:tbl>
      <w:tblPr>
        <w:tblStyle w:val="7"/>
        <w:tblW w:w="0" w:type="auto"/>
        <w:tblInd w:w="0" w:type="dxa"/>
        <w:tblLayout w:type="fixed"/>
        <w:tblCellMar>
          <w:top w:w="0" w:type="dxa"/>
          <w:left w:w="108" w:type="dxa"/>
          <w:bottom w:w="0" w:type="dxa"/>
          <w:right w:w="108" w:type="dxa"/>
        </w:tblCellMar>
      </w:tblPr>
      <w:tblGrid>
        <w:gridCol w:w="700"/>
        <w:gridCol w:w="2376"/>
        <w:gridCol w:w="3107"/>
        <w:gridCol w:w="7991"/>
      </w:tblGrid>
      <w:tr>
        <w:tblPrEx>
          <w:tblCellMar>
            <w:top w:w="0" w:type="dxa"/>
            <w:left w:w="108" w:type="dxa"/>
            <w:bottom w:w="0" w:type="dxa"/>
            <w:right w:w="108" w:type="dxa"/>
          </w:tblCellMar>
        </w:tblPrEx>
        <w:trPr>
          <w:trHeight w:val="850" w:hRule="exact"/>
          <w:tblHeader/>
        </w:trPr>
        <w:tc>
          <w:tcPr>
            <w:tcW w:w="700" w:type="dxa"/>
            <w:tcBorders>
              <w:top w:val="single" w:color="auto" w:sz="12" w:space="0"/>
              <w:left w:val="nil"/>
              <w:bottom w:val="single" w:color="auto" w:sz="4" w:space="0"/>
              <w:right w:val="single" w:color="auto" w:sz="4" w:space="0"/>
            </w:tcBorders>
            <w:noWrap/>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序号</w:t>
            </w:r>
          </w:p>
        </w:tc>
        <w:tc>
          <w:tcPr>
            <w:tcW w:w="2376" w:type="dxa"/>
            <w:tcBorders>
              <w:top w:val="single" w:color="auto" w:sz="12" w:space="0"/>
              <w:left w:val="nil"/>
              <w:bottom w:val="single" w:color="auto" w:sz="4" w:space="0"/>
              <w:right w:val="single" w:color="auto" w:sz="4" w:space="0"/>
            </w:tcBorders>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国民经济行业分类及代码</w:t>
            </w:r>
          </w:p>
        </w:tc>
        <w:tc>
          <w:tcPr>
            <w:tcW w:w="3107" w:type="dxa"/>
            <w:tcBorders>
              <w:top w:val="single" w:color="auto" w:sz="12" w:space="0"/>
              <w:left w:val="nil"/>
              <w:bottom w:val="single" w:color="auto" w:sz="4" w:space="0"/>
              <w:right w:val="single" w:color="auto" w:sz="4" w:space="0"/>
            </w:tcBorders>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 xml:space="preserve"> 文化及相关产业类别名称及小类代码</w:t>
            </w:r>
          </w:p>
        </w:tc>
        <w:tc>
          <w:tcPr>
            <w:tcW w:w="7991" w:type="dxa"/>
            <w:tcBorders>
              <w:top w:val="single" w:color="auto" w:sz="12" w:space="0"/>
              <w:left w:val="nil"/>
              <w:bottom w:val="single" w:color="auto" w:sz="4" w:space="0"/>
              <w:right w:val="nil"/>
            </w:tcBorders>
            <w:vAlign w:val="center"/>
          </w:tcPr>
          <w:p>
            <w:pPr>
              <w:widowControl/>
              <w:jc w:val="center"/>
              <w:rPr>
                <w:rFonts w:ascii="黑体" w:hAnsi="黑体" w:eastAsia="黑体" w:cs="宋体"/>
                <w:b/>
                <w:bCs/>
                <w:color w:val="000000"/>
                <w:sz w:val="24"/>
              </w:rPr>
            </w:pPr>
            <w:r>
              <w:rPr>
                <w:rFonts w:hint="eastAsia" w:ascii="黑体" w:hAnsi="黑体" w:eastAsia="黑体" w:cs="宋体"/>
                <w:b/>
                <w:bCs/>
                <w:color w:val="000000"/>
                <w:sz w:val="24"/>
              </w:rPr>
              <w:t>文化生产活动的内容</w:t>
            </w:r>
          </w:p>
        </w:tc>
      </w:tr>
      <w:tr>
        <w:tblPrEx>
          <w:tblCellMar>
            <w:top w:w="0" w:type="dxa"/>
            <w:left w:w="108" w:type="dxa"/>
            <w:bottom w:w="0" w:type="dxa"/>
            <w:right w:w="108" w:type="dxa"/>
          </w:tblCellMar>
        </w:tblPrEx>
        <w:trPr>
          <w:trHeight w:val="737"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应用软件开发        （6513*）</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多媒体、游戏动漫和数字出版软件开发（0243）</w:t>
            </w:r>
          </w:p>
        </w:tc>
        <w:tc>
          <w:tcPr>
            <w:tcW w:w="7991" w:type="dxa"/>
            <w:tcBorders>
              <w:top w:val="nil"/>
              <w:left w:val="nil"/>
              <w:bottom w:val="single" w:color="auto" w:sz="4" w:space="0"/>
              <w:right w:val="nil"/>
            </w:tcBorders>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包括应用软件开发中的多媒体软件、游戏动漫软件、数字出版软件开发活动。</w:t>
            </w:r>
          </w:p>
        </w:tc>
      </w:tr>
      <w:tr>
        <w:tblPrEx>
          <w:tblCellMar>
            <w:top w:w="0" w:type="dxa"/>
            <w:left w:w="108" w:type="dxa"/>
            <w:bottom w:w="0" w:type="dxa"/>
            <w:right w:w="108" w:type="dxa"/>
          </w:tblCellMar>
        </w:tblPrEx>
        <w:trPr>
          <w:trHeight w:val="737"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2</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其他电信服务</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（6319*）</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增值电信文化服务            （0244）</w:t>
            </w:r>
          </w:p>
        </w:tc>
        <w:tc>
          <w:tcPr>
            <w:tcW w:w="7991" w:type="dxa"/>
            <w:tcBorders>
              <w:top w:val="nil"/>
              <w:left w:val="nil"/>
              <w:bottom w:val="single" w:color="auto" w:sz="4" w:space="0"/>
              <w:right w:val="nil"/>
            </w:tcBorders>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仅</w:t>
            </w:r>
            <w:r>
              <w:rPr>
                <w:rFonts w:ascii="仿宋" w:hAnsi="仿宋" w:eastAsia="仿宋" w:cs="宋体"/>
                <w:color w:val="000000"/>
                <w:sz w:val="20"/>
                <w:szCs w:val="20"/>
              </w:rPr>
              <w:t>指固定网增值电信、移动网增值电信、其他增值电信中的文化服务，</w:t>
            </w:r>
            <w:r>
              <w:rPr>
                <w:rFonts w:hint="eastAsia" w:ascii="仿宋" w:hAnsi="仿宋" w:eastAsia="仿宋" w:cs="宋体"/>
                <w:color w:val="000000"/>
                <w:sz w:val="20"/>
                <w:szCs w:val="20"/>
              </w:rPr>
              <w:t>包括手机报、个性化铃音等业务服务。</w:t>
            </w:r>
          </w:p>
        </w:tc>
      </w:tr>
      <w:tr>
        <w:tblPrEx>
          <w:tblCellMar>
            <w:top w:w="0" w:type="dxa"/>
            <w:left w:w="108" w:type="dxa"/>
            <w:bottom w:w="0" w:type="dxa"/>
            <w:right w:w="108" w:type="dxa"/>
          </w:tblCellMar>
        </w:tblPrEx>
        <w:trPr>
          <w:trHeight w:val="656"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3</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其他数字内容服务（6579*）</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其他文化数字内容服务        （0245）</w:t>
            </w:r>
          </w:p>
        </w:tc>
        <w:tc>
          <w:tcPr>
            <w:tcW w:w="7991" w:type="dxa"/>
            <w:tcBorders>
              <w:top w:val="nil"/>
              <w:left w:val="nil"/>
              <w:bottom w:val="single" w:color="auto" w:sz="4" w:space="0"/>
              <w:right w:val="nil"/>
            </w:tcBorders>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仅指文化宣传领域数字内容服务。</w:t>
            </w:r>
          </w:p>
        </w:tc>
      </w:tr>
      <w:tr>
        <w:trPr>
          <w:trHeight w:val="737"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4</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工程设计活动</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（7484*）</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建筑设计服务                （0321）</w:t>
            </w:r>
          </w:p>
        </w:tc>
        <w:tc>
          <w:tcPr>
            <w:tcW w:w="7991" w:type="dxa"/>
            <w:tcBorders>
              <w:top w:val="nil"/>
              <w:left w:val="nil"/>
              <w:bottom w:val="single" w:color="auto" w:sz="4" w:space="0"/>
              <w:right w:val="nil"/>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仅包括房屋建筑工程，体育、休闲娱乐工程，室内装饰和风景园林工程专项设计服务。</w:t>
            </w:r>
          </w:p>
        </w:tc>
      </w:tr>
      <w:tr>
        <w:trPr>
          <w:trHeight w:val="737"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5</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互联网生活服务平台（6432*）</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互联网文化娱乐平台          （045</w:t>
            </w:r>
            <w:r>
              <w:rPr>
                <w:rFonts w:ascii="仿宋" w:hAnsi="仿宋" w:eastAsia="仿宋" w:cs="宋体"/>
                <w:color w:val="000000"/>
                <w:sz w:val="20"/>
                <w:szCs w:val="20"/>
              </w:rPr>
              <w:t>0</w:t>
            </w:r>
            <w:r>
              <w:rPr>
                <w:rFonts w:hint="eastAsia" w:ascii="仿宋" w:hAnsi="仿宋" w:eastAsia="仿宋" w:cs="宋体"/>
                <w:color w:val="000000"/>
                <w:sz w:val="20"/>
                <w:szCs w:val="20"/>
              </w:rPr>
              <w:t>）</w:t>
            </w:r>
          </w:p>
        </w:tc>
        <w:tc>
          <w:tcPr>
            <w:tcW w:w="7991" w:type="dxa"/>
            <w:tcBorders>
              <w:top w:val="nil"/>
              <w:left w:val="nil"/>
              <w:bottom w:val="single" w:color="auto" w:sz="4" w:space="0"/>
              <w:right w:val="nil"/>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仅包括互联网演出购票平台、娱乐应用服务平台、音视频服务平台、读书平台、艺术品鉴定拍卖平台和文化艺术平台。</w:t>
            </w:r>
          </w:p>
        </w:tc>
      </w:tr>
      <w:tr>
        <w:trPr>
          <w:trHeight w:val="737"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6</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投资与资产管理</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（7212*）</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文化投资与资产管理          （051</w:t>
            </w:r>
            <w:r>
              <w:rPr>
                <w:rFonts w:ascii="仿宋" w:hAnsi="仿宋" w:eastAsia="仿宋" w:cs="宋体"/>
                <w:color w:val="000000"/>
                <w:sz w:val="20"/>
                <w:szCs w:val="20"/>
              </w:rPr>
              <w:t>0</w:t>
            </w:r>
            <w:r>
              <w:rPr>
                <w:rFonts w:hint="eastAsia" w:ascii="仿宋" w:hAnsi="仿宋" w:eastAsia="仿宋" w:cs="宋体"/>
                <w:color w:val="000000"/>
                <w:sz w:val="20"/>
                <w:szCs w:val="20"/>
              </w:rPr>
              <w:t>）</w:t>
            </w:r>
          </w:p>
        </w:tc>
        <w:tc>
          <w:tcPr>
            <w:tcW w:w="7991" w:type="dxa"/>
            <w:tcBorders>
              <w:top w:val="nil"/>
              <w:left w:val="nil"/>
              <w:bottom w:val="single" w:color="auto" w:sz="4" w:space="0"/>
              <w:right w:val="nil"/>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指政府主管部门转变职能后，成立的国有文化资产管理机构和文化行业管理机构的活动；文化</w:t>
            </w:r>
            <w:r>
              <w:rPr>
                <w:rFonts w:ascii="仿宋" w:hAnsi="仿宋" w:eastAsia="仿宋" w:cs="宋体"/>
                <w:color w:val="000000"/>
                <w:sz w:val="20"/>
                <w:szCs w:val="20"/>
              </w:rPr>
              <w:t>投资活动，不包括资本市场的投资。</w:t>
            </w:r>
          </w:p>
        </w:tc>
      </w:tr>
      <w:tr>
        <w:trPr>
          <w:trHeight w:val="909"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7</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企业总部管理</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（7211*）</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文化企业总部管理            （0521）</w:t>
            </w:r>
          </w:p>
        </w:tc>
        <w:tc>
          <w:tcPr>
            <w:tcW w:w="7991" w:type="dxa"/>
            <w:tcBorders>
              <w:top w:val="nil"/>
              <w:left w:val="nil"/>
              <w:bottom w:val="single" w:color="auto" w:sz="4" w:space="0"/>
              <w:right w:val="nil"/>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指不具体从事对外经营业务，只负责文化企业的重大决策、资产管理，协调管理下属各机构和内部日常工作的文化企业总部的活动，其对外经营业务由下属的独立核算单位或单独核算单位承担，还包括派出机构的活动（如办事处等）。</w:t>
            </w:r>
          </w:p>
        </w:tc>
      </w:tr>
      <w:tr>
        <w:trPr>
          <w:trHeight w:val="737"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8</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园区管理服务</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（7221*）</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文化产业园区管理          （0522）</w:t>
            </w:r>
          </w:p>
        </w:tc>
        <w:tc>
          <w:tcPr>
            <w:tcW w:w="7991" w:type="dxa"/>
            <w:tcBorders>
              <w:top w:val="nil"/>
              <w:left w:val="nil"/>
              <w:bottom w:val="single" w:color="auto" w:sz="4" w:space="0"/>
              <w:right w:val="nil"/>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仅指非政府部门的文化产业园区管理服务。</w:t>
            </w:r>
          </w:p>
        </w:tc>
      </w:tr>
      <w:tr>
        <w:tblPrEx>
          <w:tblCellMar>
            <w:top w:w="0" w:type="dxa"/>
            <w:left w:w="108" w:type="dxa"/>
            <w:bottom w:w="0" w:type="dxa"/>
            <w:right w:w="108" w:type="dxa"/>
          </w:tblCellMar>
        </w:tblPrEx>
        <w:trPr>
          <w:trHeight w:val="737"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9</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机制纸及纸板制造           （2221*）</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文化用机制纸及纸板制造      （0711）</w:t>
            </w:r>
          </w:p>
        </w:tc>
        <w:tc>
          <w:tcPr>
            <w:tcW w:w="7991" w:type="dxa"/>
            <w:tcBorders>
              <w:top w:val="nil"/>
              <w:left w:val="nil"/>
              <w:bottom w:val="single" w:color="auto" w:sz="4" w:space="0"/>
              <w:right w:val="nil"/>
            </w:tcBorders>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包括未涂布印刷书写用纸制造、涂布类印刷用纸制造、感应纸及纸板制造。</w:t>
            </w:r>
          </w:p>
        </w:tc>
      </w:tr>
      <w:tr>
        <w:trPr>
          <w:trHeight w:val="1026"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10</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知识产权服务</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（7520*）</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版权和文化软件服务          （07</w:t>
            </w:r>
            <w:r>
              <w:rPr>
                <w:rFonts w:ascii="仿宋" w:hAnsi="仿宋" w:eastAsia="仿宋" w:cs="宋体"/>
                <w:color w:val="000000"/>
                <w:sz w:val="20"/>
                <w:szCs w:val="20"/>
              </w:rPr>
              <w:t>30</w:t>
            </w:r>
            <w:r>
              <w:rPr>
                <w:rFonts w:hint="eastAsia" w:ascii="仿宋" w:hAnsi="仿宋" w:eastAsia="仿宋" w:cs="宋体"/>
                <w:color w:val="000000"/>
                <w:sz w:val="20"/>
                <w:szCs w:val="20"/>
              </w:rPr>
              <w:t>）</w:t>
            </w:r>
          </w:p>
        </w:tc>
        <w:tc>
          <w:tcPr>
            <w:tcW w:w="7991" w:type="dxa"/>
            <w:tcBorders>
              <w:top w:val="nil"/>
              <w:left w:val="nil"/>
              <w:bottom w:val="single" w:color="auto" w:sz="4" w:space="0"/>
              <w:right w:val="nil"/>
            </w:tcBorders>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版权服务包括版权代理服务，版权鉴定服务，版权咨询服务，著作权登记服务，著作权使用报酬收转服务，版权交易、版权贸易服务和其他版权服务。文化软件服务指与文化有关的软件服务，包括软件代理、软件著作权登记、软件鉴定等服务。</w:t>
            </w:r>
          </w:p>
        </w:tc>
      </w:tr>
      <w:tr>
        <w:trPr>
          <w:trHeight w:val="737"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11</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婚姻服务    </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（8070*）</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婚庆典礼服务                （07</w:t>
            </w:r>
            <w:r>
              <w:rPr>
                <w:rFonts w:ascii="仿宋" w:hAnsi="仿宋" w:eastAsia="仿宋" w:cs="宋体"/>
                <w:color w:val="000000"/>
                <w:sz w:val="20"/>
                <w:szCs w:val="20"/>
              </w:rPr>
              <w:t>5</w:t>
            </w:r>
            <w:r>
              <w:rPr>
                <w:rFonts w:hint="eastAsia" w:ascii="仿宋" w:hAnsi="仿宋" w:eastAsia="仿宋" w:cs="宋体"/>
                <w:color w:val="000000"/>
                <w:sz w:val="20"/>
                <w:szCs w:val="20"/>
              </w:rPr>
              <w:t>4）</w:t>
            </w:r>
          </w:p>
        </w:tc>
        <w:tc>
          <w:tcPr>
            <w:tcW w:w="7991" w:type="dxa"/>
            <w:tcBorders>
              <w:top w:val="nil"/>
              <w:left w:val="nil"/>
              <w:bottom w:val="single" w:color="auto" w:sz="4" w:space="0"/>
              <w:right w:val="nil"/>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指婚庆礼仪服务。包括婚礼策划、组织服务，婚礼租车服务，婚礼用品出租服务，婚礼摄像服务和其他婚姻服务。</w:t>
            </w:r>
          </w:p>
        </w:tc>
      </w:tr>
      <w:tr>
        <w:trPr>
          <w:trHeight w:val="668"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12</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贸易代理  </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（5181*）</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文化贸易代理服务                  （07</w:t>
            </w:r>
            <w:r>
              <w:rPr>
                <w:rFonts w:ascii="仿宋" w:hAnsi="仿宋" w:eastAsia="仿宋" w:cs="宋体"/>
                <w:color w:val="000000"/>
                <w:sz w:val="20"/>
                <w:szCs w:val="20"/>
              </w:rPr>
              <w:t>5</w:t>
            </w:r>
            <w:r>
              <w:rPr>
                <w:rFonts w:hint="eastAsia" w:ascii="仿宋" w:hAnsi="仿宋" w:eastAsia="仿宋" w:cs="宋体"/>
                <w:color w:val="000000"/>
                <w:sz w:val="20"/>
                <w:szCs w:val="20"/>
              </w:rPr>
              <w:t>5）</w:t>
            </w:r>
          </w:p>
        </w:tc>
        <w:tc>
          <w:tcPr>
            <w:tcW w:w="7991" w:type="dxa"/>
            <w:tcBorders>
              <w:top w:val="nil"/>
              <w:left w:val="nil"/>
              <w:bottom w:val="single" w:color="auto" w:sz="4" w:space="0"/>
              <w:right w:val="nil"/>
            </w:tcBorders>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包括文化用品、图书、音像、文化用家用电器和广播电视器材等国际国内贸易代理服务。</w:t>
            </w:r>
          </w:p>
        </w:tc>
      </w:tr>
      <w:tr>
        <w:trPr>
          <w:trHeight w:val="1358"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13</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 xml:space="preserve">专业性团体  </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（9521*）</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学术理论社会（文化）团体           （07</w:t>
            </w:r>
            <w:r>
              <w:rPr>
                <w:rFonts w:ascii="仿宋" w:hAnsi="仿宋" w:eastAsia="仿宋" w:cs="宋体"/>
                <w:color w:val="000000"/>
                <w:sz w:val="20"/>
                <w:szCs w:val="20"/>
              </w:rPr>
              <w:t>7</w:t>
            </w:r>
            <w:r>
              <w:rPr>
                <w:rFonts w:hint="eastAsia" w:ascii="仿宋" w:hAnsi="仿宋" w:eastAsia="仿宋" w:cs="宋体"/>
                <w:color w:val="000000"/>
                <w:sz w:val="20"/>
                <w:szCs w:val="20"/>
              </w:rPr>
              <w:t>2）</w:t>
            </w:r>
          </w:p>
        </w:tc>
        <w:tc>
          <w:tcPr>
            <w:tcW w:w="7991" w:type="dxa"/>
            <w:tcBorders>
              <w:top w:val="nil"/>
              <w:left w:val="nil"/>
              <w:bottom w:val="single" w:color="auto" w:sz="4" w:space="0"/>
              <w:right w:val="nil"/>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学术理论社会团体包括党的理论研究、史学研究、思想工作研究、社会人文科学研究等团体的服务。文化团体包括新闻、图书、报刊、音像、版权、广播、电视、电影、演员、作家、文学艺术、美术家、摄影家、文物、博物馆、图书馆、文化馆、游乐园、公园、文艺理论研究、民族文化等团体的服务。</w:t>
            </w:r>
          </w:p>
        </w:tc>
      </w:tr>
      <w:tr>
        <w:trPr>
          <w:trHeight w:val="570"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14</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其他未列明教育</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（8399*）</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文化艺术辅导                （07</w:t>
            </w:r>
            <w:r>
              <w:rPr>
                <w:rFonts w:ascii="仿宋" w:hAnsi="仿宋" w:eastAsia="仿宋" w:cs="宋体"/>
                <w:color w:val="000000"/>
                <w:sz w:val="20"/>
                <w:szCs w:val="20"/>
              </w:rPr>
              <w:t>7</w:t>
            </w:r>
            <w:r>
              <w:rPr>
                <w:rFonts w:hint="eastAsia" w:ascii="仿宋" w:hAnsi="仿宋" w:eastAsia="仿宋" w:cs="宋体"/>
                <w:color w:val="000000"/>
                <w:sz w:val="20"/>
                <w:szCs w:val="20"/>
              </w:rPr>
              <w:t>4）</w:t>
            </w:r>
          </w:p>
        </w:tc>
        <w:tc>
          <w:tcPr>
            <w:tcW w:w="7991" w:type="dxa"/>
            <w:tcBorders>
              <w:top w:val="nil"/>
              <w:left w:val="nil"/>
              <w:bottom w:val="single" w:color="auto" w:sz="4" w:space="0"/>
              <w:right w:val="nil"/>
            </w:tcBorders>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包括美术、舞蹈、音乐、书法和武术等辅导服务。</w:t>
            </w:r>
          </w:p>
        </w:tc>
      </w:tr>
      <w:tr>
        <w:tblPrEx>
          <w:tblCellMar>
            <w:top w:w="0" w:type="dxa"/>
            <w:left w:w="108" w:type="dxa"/>
            <w:bottom w:w="0" w:type="dxa"/>
            <w:right w:w="108" w:type="dxa"/>
          </w:tblCellMar>
        </w:tblPrEx>
        <w:trPr>
          <w:trHeight w:val="633"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15</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智能无人飞行器制造（3963*）</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娱乐用智能无人飞行器制造          （083</w:t>
            </w:r>
            <w:r>
              <w:rPr>
                <w:rFonts w:ascii="仿宋" w:hAnsi="仿宋" w:eastAsia="仿宋" w:cs="宋体"/>
                <w:color w:val="000000"/>
                <w:sz w:val="20"/>
                <w:szCs w:val="20"/>
              </w:rPr>
              <w:t>2</w:t>
            </w:r>
            <w:r>
              <w:rPr>
                <w:rFonts w:hint="eastAsia" w:ascii="仿宋" w:hAnsi="仿宋" w:eastAsia="仿宋" w:cs="宋体"/>
                <w:color w:val="000000"/>
                <w:sz w:val="20"/>
                <w:szCs w:val="20"/>
              </w:rPr>
              <w:t>）</w:t>
            </w:r>
          </w:p>
        </w:tc>
        <w:tc>
          <w:tcPr>
            <w:tcW w:w="7991" w:type="dxa"/>
            <w:tcBorders>
              <w:top w:val="nil"/>
              <w:left w:val="nil"/>
              <w:bottom w:val="single" w:color="auto" w:sz="4" w:space="0"/>
              <w:right w:val="nil"/>
            </w:tcBorders>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指按照国家有关安全规定标准，经允许生产并主要用于娱乐的智能无人飞行器的制造。</w:t>
            </w:r>
          </w:p>
        </w:tc>
      </w:tr>
      <w:tr>
        <w:trPr>
          <w:trHeight w:val="572"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r>
              <w:rPr>
                <w:rFonts w:ascii="仿宋" w:hAnsi="仿宋" w:eastAsia="仿宋" w:cs="宋体"/>
                <w:color w:val="000000"/>
                <w:sz w:val="20"/>
                <w:szCs w:val="20"/>
              </w:rPr>
              <w:t>6</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电气设备批发</w:t>
            </w:r>
          </w:p>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（5175*）</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舞台照明设备批发               （084</w:t>
            </w:r>
            <w:r>
              <w:rPr>
                <w:rFonts w:ascii="仿宋" w:hAnsi="仿宋" w:eastAsia="仿宋" w:cs="宋体"/>
                <w:color w:val="000000"/>
                <w:sz w:val="20"/>
                <w:szCs w:val="20"/>
              </w:rPr>
              <w:t>2</w:t>
            </w:r>
            <w:r>
              <w:rPr>
                <w:rFonts w:hint="eastAsia" w:ascii="仿宋" w:hAnsi="仿宋" w:eastAsia="仿宋" w:cs="宋体"/>
                <w:color w:val="000000"/>
                <w:sz w:val="20"/>
                <w:szCs w:val="20"/>
              </w:rPr>
              <w:t>）</w:t>
            </w:r>
          </w:p>
        </w:tc>
        <w:tc>
          <w:tcPr>
            <w:tcW w:w="7991" w:type="dxa"/>
            <w:tcBorders>
              <w:top w:val="nil"/>
              <w:left w:val="nil"/>
              <w:bottom w:val="single" w:color="auto" w:sz="4" w:space="0"/>
              <w:right w:val="nil"/>
            </w:tcBorders>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包括各类舞台照明设备的批发。</w:t>
            </w:r>
          </w:p>
        </w:tc>
      </w:tr>
      <w:tr>
        <w:trPr>
          <w:trHeight w:val="737" w:hRule="exact"/>
        </w:trPr>
        <w:tc>
          <w:tcPr>
            <w:tcW w:w="700"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r>
              <w:rPr>
                <w:rFonts w:ascii="仿宋" w:hAnsi="仿宋" w:eastAsia="仿宋" w:cs="宋体"/>
                <w:color w:val="000000"/>
                <w:sz w:val="20"/>
                <w:szCs w:val="20"/>
              </w:rPr>
              <w:t>7</w:t>
            </w:r>
          </w:p>
        </w:tc>
        <w:tc>
          <w:tcPr>
            <w:tcW w:w="2376"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可穿戴智能设备制造（3961*）</w:t>
            </w:r>
          </w:p>
        </w:tc>
        <w:tc>
          <w:tcPr>
            <w:tcW w:w="31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可穿戴智能文化设备制造          （095</w:t>
            </w:r>
            <w:r>
              <w:rPr>
                <w:rFonts w:ascii="仿宋" w:hAnsi="仿宋" w:eastAsia="仿宋" w:cs="宋体"/>
                <w:color w:val="000000"/>
                <w:sz w:val="20"/>
                <w:szCs w:val="20"/>
              </w:rPr>
              <w:t>3</w:t>
            </w:r>
            <w:r>
              <w:rPr>
                <w:rFonts w:hint="eastAsia" w:ascii="仿宋" w:hAnsi="仿宋" w:eastAsia="仿宋" w:cs="宋体"/>
                <w:color w:val="000000"/>
                <w:sz w:val="20"/>
                <w:szCs w:val="20"/>
              </w:rPr>
              <w:t>）</w:t>
            </w:r>
          </w:p>
        </w:tc>
        <w:tc>
          <w:tcPr>
            <w:tcW w:w="7991" w:type="dxa"/>
            <w:tcBorders>
              <w:top w:val="nil"/>
              <w:left w:val="nil"/>
              <w:bottom w:val="single" w:color="auto" w:sz="4" w:space="0"/>
              <w:right w:val="nil"/>
            </w:tcBorders>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指由用户穿戴和控制，并且自然、持续地运行和交互的个人移动计算文化设备产品的制造。</w:t>
            </w:r>
          </w:p>
        </w:tc>
      </w:tr>
      <w:tr>
        <w:tblPrEx>
          <w:tblCellMar>
            <w:top w:w="0" w:type="dxa"/>
            <w:left w:w="108" w:type="dxa"/>
            <w:bottom w:w="0" w:type="dxa"/>
            <w:right w:w="108" w:type="dxa"/>
          </w:tblCellMar>
        </w:tblPrEx>
        <w:trPr>
          <w:trHeight w:val="737" w:hRule="exact"/>
        </w:trPr>
        <w:tc>
          <w:tcPr>
            <w:tcW w:w="70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color w:val="000000"/>
                <w:sz w:val="20"/>
                <w:szCs w:val="20"/>
              </w:rPr>
            </w:pPr>
            <w:r>
              <w:rPr>
                <w:rFonts w:hint="eastAsia" w:ascii="仿宋" w:hAnsi="仿宋" w:eastAsia="仿宋" w:cs="宋体"/>
                <w:color w:val="000000"/>
                <w:sz w:val="20"/>
                <w:szCs w:val="20"/>
              </w:rPr>
              <w:t>1</w:t>
            </w:r>
            <w:r>
              <w:rPr>
                <w:rFonts w:ascii="仿宋" w:hAnsi="仿宋" w:eastAsia="仿宋" w:cs="宋体"/>
                <w:color w:val="000000"/>
                <w:sz w:val="20"/>
                <w:szCs w:val="20"/>
              </w:rPr>
              <w:t>8</w:t>
            </w:r>
          </w:p>
        </w:tc>
        <w:tc>
          <w:tcPr>
            <w:tcW w:w="23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其他智能消费设备制造（3969*）</w:t>
            </w:r>
          </w:p>
        </w:tc>
        <w:tc>
          <w:tcPr>
            <w:tcW w:w="310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color w:val="000000"/>
                <w:sz w:val="20"/>
                <w:szCs w:val="20"/>
              </w:rPr>
            </w:pPr>
            <w:r>
              <w:rPr>
                <w:rFonts w:hint="eastAsia" w:ascii="仿宋" w:hAnsi="仿宋" w:eastAsia="仿宋" w:cs="宋体"/>
                <w:color w:val="000000"/>
                <w:sz w:val="20"/>
                <w:szCs w:val="20"/>
              </w:rPr>
              <w:t>其他智能文化消费设备制造（095</w:t>
            </w:r>
            <w:r>
              <w:rPr>
                <w:rFonts w:ascii="仿宋" w:hAnsi="仿宋" w:eastAsia="仿宋" w:cs="宋体"/>
                <w:color w:val="000000"/>
                <w:sz w:val="20"/>
                <w:szCs w:val="20"/>
              </w:rPr>
              <w:t>4</w:t>
            </w:r>
            <w:r>
              <w:rPr>
                <w:rFonts w:hint="eastAsia" w:ascii="仿宋" w:hAnsi="仿宋" w:eastAsia="仿宋" w:cs="宋体"/>
                <w:color w:val="000000"/>
                <w:sz w:val="20"/>
                <w:szCs w:val="20"/>
              </w:rPr>
              <w:t>）</w:t>
            </w:r>
          </w:p>
        </w:tc>
        <w:tc>
          <w:tcPr>
            <w:tcW w:w="7991" w:type="dxa"/>
            <w:tcBorders>
              <w:top w:val="single" w:color="auto" w:sz="4" w:space="0"/>
              <w:left w:val="nil"/>
              <w:bottom w:val="single" w:color="auto" w:sz="4" w:space="0"/>
              <w:right w:val="nil"/>
            </w:tcBorders>
            <w:vAlign w:val="center"/>
          </w:tcPr>
          <w:p>
            <w:pPr>
              <w:widowControl/>
              <w:rPr>
                <w:rFonts w:ascii="仿宋" w:hAnsi="仿宋" w:eastAsia="仿宋" w:cs="宋体"/>
                <w:color w:val="000000"/>
                <w:sz w:val="20"/>
                <w:szCs w:val="20"/>
              </w:rPr>
            </w:pPr>
            <w:r>
              <w:rPr>
                <w:rFonts w:hint="eastAsia" w:ascii="仿宋" w:hAnsi="仿宋" w:eastAsia="仿宋" w:cs="宋体"/>
                <w:color w:val="000000"/>
                <w:sz w:val="20"/>
                <w:szCs w:val="20"/>
              </w:rPr>
              <w:t>仅指虚拟现实设备制造活动。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EA9689-1124-4CA6-AD02-386CF85947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embedRegular r:id="rId2" w:fontKey="{C8DFCD16-BC6D-43CE-A67E-3B6AEC5DA629}"/>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9B792C19-8F5E-49A6-9F63-A8773D9E6ADB}"/>
  </w:font>
  <w:font w:name="方正小标宋_GBK">
    <w:panose1 w:val="02000000000000000000"/>
    <w:charset w:val="86"/>
    <w:family w:val="script"/>
    <w:pitch w:val="default"/>
    <w:sig w:usb0="A00002BF" w:usb1="38CF7CFA" w:usb2="00082016" w:usb3="00000000" w:csb0="00040001" w:csb1="00000000"/>
    <w:embedRegular r:id="rId4" w:fontKey="{48DA9669-1DC2-4CD5-95E5-E8DFC90C8E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rPr>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24</w:t>
    </w:r>
    <w:r>
      <w:rPr>
        <w:rFonts w:ascii="宋体" w:hAnsi="宋体"/>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ODNjMGI2OGMwMmM2YzkyODdiNmY1OTY5ZGEzZmEifQ=="/>
  </w:docVars>
  <w:rsids>
    <w:rsidRoot w:val="00010924"/>
    <w:rsid w:val="00010924"/>
    <w:rsid w:val="003B1EA3"/>
    <w:rsid w:val="004F1606"/>
    <w:rsid w:val="006B2527"/>
    <w:rsid w:val="00786A48"/>
    <w:rsid w:val="007942D6"/>
    <w:rsid w:val="007A3FE1"/>
    <w:rsid w:val="0083575B"/>
    <w:rsid w:val="009B4AD5"/>
    <w:rsid w:val="00F13EEB"/>
    <w:rsid w:val="183B19A5"/>
    <w:rsid w:val="284E09C3"/>
    <w:rsid w:val="2C602F78"/>
    <w:rsid w:val="36095AA9"/>
    <w:rsid w:val="36E16A34"/>
    <w:rsid w:val="3B85332A"/>
    <w:rsid w:val="463C5FFE"/>
    <w:rsid w:val="4E1621F9"/>
    <w:rsid w:val="52EF2037"/>
    <w:rsid w:val="547B720C"/>
    <w:rsid w:val="5DC74556"/>
    <w:rsid w:val="67BE4C57"/>
    <w:rsid w:val="6F7D7B3D"/>
    <w:rsid w:val="727C4AD0"/>
    <w:rsid w:val="73EA33FE"/>
    <w:rsid w:val="79F2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keepLines/>
      <w:spacing w:before="340" w:after="330" w:line="579" w:lineRule="auto"/>
      <w:jc w:val="center"/>
      <w:outlineLvl w:val="0"/>
    </w:pPr>
    <w:rPr>
      <w:b/>
      <w:bCs/>
      <w:kern w:val="44"/>
      <w:sz w:val="44"/>
      <w:szCs w:val="44"/>
    </w:rPr>
  </w:style>
  <w:style w:type="paragraph" w:styleId="3">
    <w:name w:val="heading 2"/>
    <w:basedOn w:val="1"/>
    <w:next w:val="1"/>
    <w:link w:val="9"/>
    <w:semiHidden/>
    <w:unhideWhenUsed/>
    <w:qFormat/>
    <w:uiPriority w:val="0"/>
    <w:pPr>
      <w:keepNext/>
      <w:keepLines/>
      <w:adjustRightInd w:val="0"/>
      <w:snapToGrid w:val="0"/>
      <w:spacing w:before="260" w:after="260" w:line="560" w:lineRule="exact"/>
      <w:ind w:firstLine="880" w:firstLineChars="200"/>
      <w:outlineLvl w:val="1"/>
    </w:pPr>
    <w:rPr>
      <w:rFonts w:ascii="Cambria" w:hAnsi="Cambria" w:eastAsia="黑体"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3"/>
    <w:qFormat/>
    <w:uiPriority w:val="0"/>
    <w:rPr>
      <w:rFonts w:ascii="Cambria" w:hAnsi="Cambria" w:eastAsia="黑体" w:cs="Times New Roman"/>
      <w:b/>
      <w:bCs/>
      <w:sz w:val="32"/>
      <w:szCs w:val="32"/>
    </w:rPr>
  </w:style>
  <w:style w:type="character" w:customStyle="1" w:styleId="10">
    <w:name w:val="标题 1 字符"/>
    <w:basedOn w:val="8"/>
    <w:link w:val="2"/>
    <w:qFormat/>
    <w:uiPriority w:val="0"/>
    <w:rPr>
      <w:rFonts w:asciiTheme="minorHAnsi" w:hAnsiTheme="minorHAnsi" w:eastAsiaTheme="minorEastAsia"/>
      <w:b/>
      <w:bCs/>
      <w:kern w:val="44"/>
      <w:sz w:val="44"/>
      <w:szCs w:val="44"/>
    </w:rPr>
  </w:style>
  <w:style w:type="paragraph" w:customStyle="1" w:styleId="11">
    <w:name w:val="文章附标题"/>
    <w:basedOn w:val="1"/>
    <w:next w:val="1"/>
    <w:qFormat/>
    <w:uiPriority w:val="99"/>
    <w:pPr>
      <w:widowControl/>
      <w:spacing w:before="187" w:after="175" w:line="374" w:lineRule="atLeast"/>
      <w:jc w:val="center"/>
    </w:pPr>
    <w:rPr>
      <w:rFonts w:ascii="Times New Roman" w:hAnsi="Times New Roman" w:eastAsia="宋体" w:cs="Times New Roman"/>
      <w:color w:val="000000"/>
      <w:kern w:val="0"/>
      <w:sz w:val="36"/>
      <w:szCs w:val="36"/>
      <w:u w:color="000000"/>
    </w:rPr>
  </w:style>
  <w:style w:type="paragraph" w:customStyle="1" w:styleId="12">
    <w:name w:val="p0"/>
    <w:basedOn w:val="1"/>
    <w:qFormat/>
    <w:uiPriority w:val="0"/>
    <w:pPr>
      <w:widowControl/>
      <w:adjustRightInd w:val="0"/>
      <w:snapToGrid w:val="0"/>
      <w:spacing w:after="200"/>
      <w:jc w:val="left"/>
    </w:pPr>
    <w:rPr>
      <w:rFonts w:ascii="Tahoma" w:hAnsi="Tahoma" w:eastAsia="宋体" w:cs="Tahoma"/>
      <w:kern w:val="0"/>
      <w:sz w:val="22"/>
    </w:rPr>
  </w:style>
  <w:style w:type="character" w:customStyle="1" w:styleId="13">
    <w:name w:val="页眉 字符"/>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2104</Words>
  <Characters>11995</Characters>
  <Lines>99</Lines>
  <Paragraphs>28</Paragraphs>
  <TotalTime>1</TotalTime>
  <ScaleCrop>false</ScaleCrop>
  <LinksUpToDate>false</LinksUpToDate>
  <CharactersWithSpaces>14071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WZ</dc:creator>
  <cp:lastModifiedBy>TANGJINGO</cp:lastModifiedBy>
  <dcterms:modified xsi:type="dcterms:W3CDTF">2022-07-01T02:29:24Z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8827AD3373144998B0EAF9FA05B04265</vt:lpwstr>
  </property>
</Properties>
</file>